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AC" w:rsidRDefault="00124CD4">
      <w:pPr>
        <w:pStyle w:val="ConsTitle"/>
        <w:widowControl/>
        <w:ind w:right="0"/>
      </w:pPr>
      <w:r>
        <w:rPr>
          <w:b w:val="0"/>
          <w:sz w:val="28"/>
          <w:szCs w:val="28"/>
        </w:rPr>
        <w:t xml:space="preserve">-                                                           </w:t>
      </w: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51815" cy="69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</w:t>
      </w:r>
      <w:r w:rsidR="00256AAC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                      </w:t>
      </w:r>
    </w:p>
    <w:p w:rsidR="00AC3FAC" w:rsidRDefault="00AC3FAC">
      <w:pPr>
        <w:pStyle w:val="ac"/>
        <w:tabs>
          <w:tab w:val="left" w:pos="15168"/>
        </w:tabs>
        <w:ind w:right="397"/>
        <w:rPr>
          <w:b w:val="0"/>
          <w:sz w:val="28"/>
          <w:szCs w:val="28"/>
        </w:rPr>
      </w:pPr>
    </w:p>
    <w:p w:rsidR="00AC3FAC" w:rsidRDefault="00124CD4">
      <w:pPr>
        <w:pStyle w:val="ac"/>
        <w:tabs>
          <w:tab w:val="left" w:pos="15168"/>
        </w:tabs>
        <w:ind w:right="3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РОСТОВСКАЯ ОБЛАСТЬ</w:t>
      </w:r>
    </w:p>
    <w:p w:rsidR="00AC3FAC" w:rsidRDefault="00124CD4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:rsidR="00AC3FAC" w:rsidRDefault="00124CD4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БЕЛОКАЛИТВИНСКОГО ГОРОДСКОГО ПОСЕЛЕНИЯ</w:t>
      </w:r>
    </w:p>
    <w:p w:rsidR="00AC3FAC" w:rsidRDefault="00AC3FAC">
      <w:pPr>
        <w:jc w:val="center"/>
        <w:rPr>
          <w:sz w:val="16"/>
          <w:szCs w:val="16"/>
          <w:lang w:val="ru-RU"/>
        </w:rPr>
      </w:pPr>
    </w:p>
    <w:p w:rsidR="00AC3FAC" w:rsidRDefault="00124CD4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:rsidR="00AC3FAC" w:rsidRDefault="00AC3FAC">
      <w:pPr>
        <w:jc w:val="center"/>
        <w:rPr>
          <w:color w:val="FF0000"/>
          <w:sz w:val="16"/>
          <w:szCs w:val="16"/>
          <w:lang w:val="ru-RU"/>
        </w:rPr>
      </w:pPr>
    </w:p>
    <w:p w:rsidR="00AC3FAC" w:rsidRDefault="00256AAC">
      <w:pPr>
        <w:pStyle w:val="ConsTitle"/>
        <w:ind w:right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29 апреля </w:t>
      </w:r>
      <w:r w:rsidR="00124CD4">
        <w:rPr>
          <w:rFonts w:ascii="Times New Roman" w:hAnsi="Times New Roman" w:cs="Times New Roman"/>
          <w:b w:val="0"/>
          <w:sz w:val="28"/>
          <w:szCs w:val="28"/>
        </w:rPr>
        <w:t xml:space="preserve">2022 года                                       </w:t>
      </w:r>
      <w:r w:rsidR="000E14A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 37</w:t>
      </w:r>
      <w:bookmarkStart w:id="0" w:name="_GoBack"/>
      <w:bookmarkEnd w:id="0"/>
    </w:p>
    <w:p w:rsidR="00AC3FAC" w:rsidRDefault="00124C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AC3FAC" w:rsidRDefault="00124CD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:rsidR="00AC3FAC" w:rsidRDefault="00AC3FAC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AC3FAC" w:rsidRPr="000E14AB">
        <w:tc>
          <w:tcPr>
            <w:tcW w:w="10173" w:type="dxa"/>
            <w:shd w:val="clear" w:color="auto" w:fill="FFFFFF"/>
          </w:tcPr>
          <w:p w:rsidR="00AC3FAC" w:rsidRDefault="00124C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и дополнений  </w:t>
            </w:r>
          </w:p>
          <w:p w:rsidR="00AC3FAC" w:rsidRDefault="00124C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в решение Собрания депутатов </w:t>
            </w:r>
          </w:p>
          <w:p w:rsidR="00AC3FAC" w:rsidRDefault="00124C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Белокалитвинского городского поселения </w:t>
            </w:r>
          </w:p>
          <w:p w:rsidR="00AC3FAC" w:rsidRDefault="00124CD4">
            <w:pPr>
              <w:pStyle w:val="ConsTitle"/>
              <w:widowControl/>
              <w:ind w:right="0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от 26.10.2017 № 41</w:t>
            </w:r>
          </w:p>
          <w:p w:rsidR="00AC3FAC" w:rsidRDefault="00AC3FA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AC3FAC" w:rsidRDefault="00AC3FA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AC3FAC" w:rsidRDefault="00124CD4">
            <w:pPr>
              <w:ind w:firstLine="709"/>
              <w:jc w:val="both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 w:eastAsia="zh-CN"/>
              </w:rPr>
              <w:t xml:space="preserve">В соответствии с  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Конвенцией о правах инвалидов, принятой Генеральной Ассамблеей ООН 13.12.2006,</w:t>
            </w:r>
            <w:r>
              <w:rPr>
                <w:sz w:val="28"/>
                <w:szCs w:val="28"/>
                <w:lang w:val="ru-RU" w:eastAsia="zh-CN"/>
              </w:rPr>
              <w:t xml:space="preserve"> в целях реализации Федерального закона от 24.11.1995 № 181-ФЗ «О социальной защите инвалидов в Российской Федерации», Федерального закона от 06.10.2003 № 131-ФЗ «Об общих принципах организации местного самоуправления в Российской Федерации»,  </w:t>
            </w:r>
            <w:bookmarkStart w:id="1" w:name="__DdeLink__618_1681402918"/>
            <w:r>
              <w:rPr>
                <w:sz w:val="28"/>
                <w:szCs w:val="28"/>
                <w:lang w:val="ru-RU" w:eastAsia="zh-CN"/>
              </w:rPr>
              <w:t>Областного закона от 26.07.2018      № 1426-ЗС «О порядке определения правилами благоустройства территорий муниципальных образований границ прилегающих территорий»,</w:t>
            </w:r>
            <w:bookmarkEnd w:id="1"/>
            <w:r>
              <w:rPr>
                <w:sz w:val="28"/>
                <w:szCs w:val="28"/>
                <w:lang w:val="ru-RU" w:eastAsia="zh-CN"/>
              </w:rPr>
              <w:t xml:space="preserve"> во исполнение решения</w:t>
            </w:r>
            <w:proofErr w:type="gramEnd"/>
            <w:r>
              <w:rPr>
                <w:sz w:val="28"/>
                <w:szCs w:val="28"/>
                <w:lang w:val="ru-RU" w:eastAsia="zh-CN"/>
              </w:rPr>
              <w:t xml:space="preserve"> Белокалитвинского городского суда от 07.12.2021года по делу №2-а 1928/21, Собрание депутатов Белокалитвинского городского поселения </w:t>
            </w:r>
          </w:p>
          <w:p w:rsidR="00AC3FAC" w:rsidRDefault="00AC3FA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AC3FAC" w:rsidRDefault="00124C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1. Внести в решение Собрания депутатов Белокалитвинского городского поселения от 26.10.2017  № 41 «Об утверждении Правил благоустройства территории Белокалитвинского городского поселения» следующие изменения и дополнения: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1.1. Пункт 2.8. раздела 1. Определения изложить в новой редакции:</w:t>
      </w:r>
    </w:p>
    <w:p w:rsidR="00AC3FAC" w:rsidRDefault="00124CD4">
      <w:pPr>
        <w:tabs>
          <w:tab w:val="left" w:pos="792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«Прилегающая территория —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sz w:val="28"/>
          <w:szCs w:val="28"/>
          <w:lang w:val="ru-RU"/>
        </w:rPr>
        <w:t>границы</w:t>
      </w:r>
      <w:proofErr w:type="gramEnd"/>
      <w:r>
        <w:rPr>
          <w:sz w:val="28"/>
          <w:szCs w:val="28"/>
          <w:lang w:val="ru-RU"/>
        </w:rPr>
        <w:t xml:space="preserve"> которой определены настоящими Правилами благоустройства.».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1.2. Раздел 1. Определения дополнить пунктом 2.20. следующего содержания: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«Территории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бульвары.).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1.3. Раздел 1. Определения дополнить пунктом 2.21. следующего содержания: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«Границы прилегающей территории — местоположение прилегающей территории, установленное посредством определения координат характерных точек ее границ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1.4. Раздел 1. Определения дополнить пунктом 2.22. следующего содержания: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«Внутренняя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tabs>
          <w:tab w:val="left" w:pos="732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1.5. Раздел 1. Определения дополнить  пунктом 2.23. следующего содержания:</w:t>
      </w:r>
    </w:p>
    <w:p w:rsidR="00AC3FAC" w:rsidRDefault="00124C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«Внешняя часть границ прилегающей территории —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1.6. Подпункт 4.7.1. пункта 4.7. раздела 4 изложить в новой редакции:</w:t>
      </w:r>
    </w:p>
    <w:p w:rsidR="00AC3FAC" w:rsidRDefault="00124CD4">
      <w:pPr>
        <w:pStyle w:val="ConsPlusNormal"/>
        <w:ind w:firstLine="425"/>
        <w:jc w:val="both"/>
      </w:pP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благоустройства территории Белокалитвинского городского поселения на землях и земельных участках, государственная собственность на которые не разграничена,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форм, является расходным обязательством бюджета муниципального образования, а также иных лиц, являющихся собственниками (правообладателями) земельных участков с объектами благоустройства.».</w:t>
      </w:r>
      <w:proofErr w:type="gramEnd"/>
    </w:p>
    <w:p w:rsidR="00AC3FAC" w:rsidRDefault="00124CD4">
      <w:pPr>
        <w:pStyle w:val="ConsPlusNormal"/>
        <w:ind w:firstLine="425"/>
        <w:jc w:val="both"/>
      </w:pPr>
      <w:r>
        <w:rPr>
          <w:color w:val="000000"/>
          <w:sz w:val="28"/>
          <w:szCs w:val="28"/>
        </w:rPr>
        <w:t xml:space="preserve">     1.7. В названии п.п.5.9.3. п.5.9. раздела 5. «Требования к отдельно стоящим рекламным конструкциям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  <w:r>
        <w:rPr>
          <w:color w:val="000000"/>
          <w:sz w:val="28"/>
          <w:szCs w:val="28"/>
        </w:rPr>
        <w:t>исключить слова «отдельно стоящим.».</w:t>
      </w:r>
    </w:p>
    <w:p w:rsidR="00AC3FAC" w:rsidRPr="00124CD4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1.8. Раздел 11 дополнить пунктом 11.7. следующего содержания: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«11.7. Доступность объектов торговли для маломобильных групп населения должна соответствовать принципу </w:t>
      </w:r>
      <w:r>
        <w:rPr>
          <w:sz w:val="28"/>
          <w:szCs w:val="28"/>
          <w:shd w:val="clear" w:color="auto" w:fill="FFFFFF"/>
          <w:lang w:val="ru-RU"/>
        </w:rPr>
        <w:t xml:space="preserve">«разумное приспособление», установленному Конвенцией о правах инвалидов, принятой Генеральной Ассамблеей ООН                13 декабря 2006 года. </w:t>
      </w:r>
      <w:r>
        <w:rPr>
          <w:sz w:val="28"/>
          <w:szCs w:val="28"/>
          <w:lang w:val="ru-RU"/>
        </w:rPr>
        <w:t xml:space="preserve">         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11.7.1. Входная группа торгового объекта  должна  быть оборудована тактильной информационной табличкой, содержащей информацию о наименовании, контактных телефонах и графике работы.</w:t>
      </w:r>
    </w:p>
    <w:p w:rsidR="00AC3FAC" w:rsidRDefault="00124CD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11.7.2. </w:t>
      </w:r>
      <w:bookmarkStart w:id="2" w:name="P0063"/>
      <w:bookmarkEnd w:id="2"/>
      <w:r>
        <w:rPr>
          <w:sz w:val="28"/>
          <w:szCs w:val="28"/>
          <w:lang w:val="ru-RU"/>
        </w:rPr>
        <w:t>Лестницы входной группы должны дублироваться пандусами или подъемными устройствами. Наружные лестницы и пандусы должны быть оборудованы поручнями. Длина марша пандуса не должна превышать 9,0 м, а уклон не круче 1:20. Ширина между поручнями пандуса должна быть в пределах 0,9-1,0 м.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Пандус с расчетной длиной 36,0 м и более и высотой более 3,0 м следует заменять подъемными устройствами.</w:t>
      </w:r>
    </w:p>
    <w:p w:rsidR="00AC3FAC" w:rsidRDefault="00124CD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11.7.3. На боковых краях ступеней входной группы, не примыкающих к стене, должны быть бортики  высотой не менее 0,02 м или другие устройства для предотвращения соскальзывания трости или ноги.</w:t>
      </w:r>
    </w:p>
    <w:p w:rsidR="00AC3FAC" w:rsidRDefault="00124CD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11.7.4. На путях движения маломобильных групп населения не должно быть ступеней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открытыми подступенями.</w:t>
      </w:r>
    </w:p>
    <w:p w:rsidR="00AC3FAC" w:rsidRDefault="00124CD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11.7.5. Краевые ступени лестницы входной группы должны быть выделены цветом или фактурой.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11.7.6. Все ступени лестницы входной группы в пределах одного марша должны быть одинаковыми в плане, по размерам ширины проступи и высоты подъема ступеней. </w:t>
      </w:r>
    </w:p>
    <w:p w:rsidR="00AC3FAC" w:rsidRDefault="00124C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11.7.7.  Кнопка вызова персонала должна быть выделена контрастным цветом и обозначена специальным символом. Кнопку вызова </w:t>
      </w:r>
      <w:r>
        <w:rPr>
          <w:sz w:val="28"/>
          <w:szCs w:val="28"/>
          <w:shd w:val="clear" w:color="auto" w:fill="FFFFFF"/>
          <w:lang w:val="ru-RU"/>
        </w:rPr>
        <w:t>персонала располагают на высоте от 0,85 до 1 м от поверхности земли.</w:t>
      </w:r>
      <w:r>
        <w:rPr>
          <w:sz w:val="28"/>
          <w:szCs w:val="28"/>
          <w:shd w:val="clear" w:color="auto" w:fill="FFFFFF"/>
        </w:rPr>
        <w:t> </w:t>
      </w:r>
    </w:p>
    <w:p w:rsidR="00AC3FAC" w:rsidRDefault="00124C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11.7.8.  Дверные наличники или края дверного полотна и ручки входной группы должны быть окрашены в отличные от дверного полотна контрастные цвета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11.7.9. Лица, разместившие, а также эксплуатирующие уличное техническое оборудование (автоматы по продаже воды и других товаров) должны обеспечивать беспрепятственный доступ маломобильных групп населения к уличному техническому оборудованию, возможность свободного использования маломобильными группами населения такого оборудования.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11.7.10. </w:t>
      </w:r>
      <w:proofErr w:type="gramStart"/>
      <w:r>
        <w:rPr>
          <w:sz w:val="28"/>
          <w:szCs w:val="28"/>
          <w:lang w:val="ru-RU"/>
        </w:rPr>
        <w:t>Движение маломобильных групп населения от близлежащего тротуара или другого пешеходного пути, ведущего к уличному техническому оборудованию, размещенному на внешней стене многоквартирного дома или иного здания, а также на муниципальных территориях, не должно иметь препятствий в виде бортового либо бордюрного камня, перепада высот пешеходных путей высотой более 0,025 м. Доступность вышеуказанного  оборудования предусматривается обеспечением высоты расположения оборудования до 0,85 м от</w:t>
      </w:r>
      <w:proofErr w:type="gramEnd"/>
      <w:r>
        <w:rPr>
          <w:sz w:val="28"/>
          <w:szCs w:val="28"/>
          <w:lang w:val="ru-RU"/>
        </w:rPr>
        <w:t xml:space="preserve"> уровня отмостки здания или иного покрытия земельного участка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pStyle w:val="Default"/>
        <w:jc w:val="both"/>
      </w:pPr>
      <w:r>
        <w:rPr>
          <w:color w:val="00000A"/>
          <w:sz w:val="28"/>
          <w:szCs w:val="28"/>
        </w:rPr>
        <w:t xml:space="preserve">          1.9. Раздел 11 дополнить пунктом 11.8. следующего содержания:</w:t>
      </w:r>
    </w:p>
    <w:p w:rsidR="00AC3FAC" w:rsidRDefault="00124CD4">
      <w:pPr>
        <w:pStyle w:val="Default"/>
        <w:jc w:val="both"/>
      </w:pPr>
      <w:r>
        <w:rPr>
          <w:color w:val="00000A"/>
          <w:sz w:val="28"/>
          <w:szCs w:val="28"/>
        </w:rPr>
        <w:t xml:space="preserve">      «11.8. </w:t>
      </w:r>
      <w:r>
        <w:rPr>
          <w:sz w:val="28"/>
          <w:szCs w:val="28"/>
        </w:rPr>
        <w:t>Здания и помещения, размещаемые на территории земельных участков автозаправочных станций (АЗС), включая входные группы, кассовые зоны и торговые помещения, зоны приема пищи и отдыха, санузлы, места для стоянки (парковки) транспортных средств инвалидов должны соответствовать требованиям 5.1, 5.2, раздела 6, 8.4.1–8.4.8 СП 59.13330.2020.».</w:t>
      </w:r>
    </w:p>
    <w:p w:rsidR="00AC3FAC" w:rsidRDefault="00124CD4">
      <w:pPr>
        <w:pStyle w:val="Default"/>
        <w:jc w:val="both"/>
      </w:pPr>
      <w:r>
        <w:rPr>
          <w:sz w:val="28"/>
          <w:szCs w:val="28"/>
        </w:rPr>
        <w:t xml:space="preserve">          1.10. Раздел 11 дополнить пунктом 11.9. следующего содержания:</w:t>
      </w:r>
    </w:p>
    <w:p w:rsidR="00AC3FAC" w:rsidRDefault="00124CD4">
      <w:pPr>
        <w:pStyle w:val="Default"/>
        <w:jc w:val="both"/>
      </w:pPr>
      <w:r>
        <w:rPr>
          <w:sz w:val="28"/>
          <w:szCs w:val="28"/>
        </w:rPr>
        <w:tab/>
        <w:t>«11.9. Не менее одной топливно-раздаточной колонки АЗС каждого вида топлива и одного места зарядки электромобилей должны быть доступны для инвалидов на кресле-коляске, а именно доступность топливно-раздаточной колонки (ТРК) и места зарядки электромобилей предусматривается обеспечением высоты расположения:</w:t>
      </w:r>
    </w:p>
    <w:p w:rsidR="00AC3FAC" w:rsidRDefault="00124C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штатного размещения ручки топливораздаточного пистолета или штекера электрического кабеля станции зарядки – от 0,7 до 0,8 м;</w:t>
      </w:r>
    </w:p>
    <w:p w:rsidR="00AC3FAC" w:rsidRDefault="00124C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цифр дисплея показателей объема топлива (электроэнергии) и его стоимости – от 1,45 до 1,75 м;</w:t>
      </w:r>
    </w:p>
    <w:p w:rsidR="00AC3FAC" w:rsidRDefault="00124CD4">
      <w:pPr>
        <w:pStyle w:val="Default"/>
      </w:pPr>
      <w:r>
        <w:rPr>
          <w:sz w:val="28"/>
          <w:szCs w:val="28"/>
        </w:rPr>
        <w:t>-  рабочей зоны терминалов самообслуживания</w:t>
      </w:r>
      <w:r>
        <w:t xml:space="preserve"> </w:t>
      </w:r>
      <w:r>
        <w:rPr>
          <w:sz w:val="28"/>
          <w:szCs w:val="23"/>
        </w:rPr>
        <w:t>необходимо размещать на высоте 0,85– 1,1 м от уровня по</w:t>
      </w:r>
      <w:r>
        <w:rPr>
          <w:sz w:val="28"/>
          <w:szCs w:val="28"/>
        </w:rPr>
        <w:t>ла или иного покрытия земельного участка;</w:t>
      </w:r>
    </w:p>
    <w:p w:rsidR="00AC3FAC" w:rsidRDefault="00124C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информационной таблички с номером телефона персонала и знака доступности по ГОСТ Р52131 – от 1,2 до 1,8 м.</w:t>
      </w:r>
    </w:p>
    <w:p w:rsidR="00AC3FAC" w:rsidRDefault="00124CD4">
      <w:pPr>
        <w:pStyle w:val="Default"/>
        <w:jc w:val="both"/>
      </w:pPr>
      <w:r>
        <w:rPr>
          <w:sz w:val="28"/>
          <w:szCs w:val="28"/>
        </w:rPr>
        <w:t>Глубина в плане приподнятой площадки и (или) ограждения ТРК либо зарядной станции со стороны места заправки (зарядки) транспортного средства должна быть не более 0,1 м.».</w:t>
      </w:r>
    </w:p>
    <w:p w:rsidR="00AC3FAC" w:rsidRDefault="00124CD4">
      <w:pPr>
        <w:pStyle w:val="Default"/>
        <w:jc w:val="both"/>
      </w:pPr>
      <w:r>
        <w:rPr>
          <w:sz w:val="28"/>
          <w:szCs w:val="28"/>
        </w:rPr>
        <w:tab/>
        <w:t>1.11. Раздел 11 дополнить пунктом 11.10. следующего содержания:</w:t>
      </w:r>
    </w:p>
    <w:p w:rsidR="00AC3FAC" w:rsidRDefault="00124CD4">
      <w:pPr>
        <w:pStyle w:val="Default"/>
        <w:jc w:val="both"/>
      </w:pPr>
      <w:r>
        <w:rPr>
          <w:sz w:val="28"/>
          <w:szCs w:val="28"/>
        </w:rPr>
        <w:lastRenderedPageBreak/>
        <w:t xml:space="preserve">        «11.10. Не менее 20 % мест, но не менее одного места для заправки (зарядки) транспортных средств каждым видом топлива (электроэнергии) на всех видах АЗС, за исключением автоматических, должны быть с вызовом персонала для оказания помощи, а при невозможности – информационной табличкой в соответствии                    с ГОСТ Р52131.</w:t>
      </w:r>
    </w:p>
    <w:p w:rsidR="00AC3FAC" w:rsidRDefault="00124CD4">
      <w:pPr>
        <w:pStyle w:val="Default"/>
        <w:ind w:firstLine="708"/>
        <w:jc w:val="both"/>
      </w:pPr>
      <w:r>
        <w:rPr>
          <w:sz w:val="28"/>
          <w:szCs w:val="28"/>
        </w:rPr>
        <w:t>Место вызова персонала для оказания помощи маломобильным группам населения на АЗС следует размещать на ТР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станции зарядки) или в границах островка безопасности ТРК, в том числе на колонке навеса на высоте от 1,0 до 1,2 м и на расстоянии не далее 0,4 м от зоны проезда транспортного средства.</w:t>
      </w:r>
      <w:r>
        <w:t xml:space="preserve"> </w:t>
      </w:r>
      <w:r>
        <w:rPr>
          <w:sz w:val="28"/>
          <w:szCs w:val="28"/>
        </w:rPr>
        <w:t>Устройства вызова возле рабочих мест персонала необходимо оборудовать световыми и звуковыми индикаторами</w:t>
      </w:r>
      <w:proofErr w:type="gramStart"/>
      <w:r>
        <w:rPr>
          <w:sz w:val="28"/>
          <w:szCs w:val="28"/>
        </w:rPr>
        <w:t>.».</w:t>
      </w:r>
      <w:proofErr w:type="gramEnd"/>
    </w:p>
    <w:p w:rsidR="00AC3FAC" w:rsidRDefault="00124CD4">
      <w:pPr>
        <w:pStyle w:val="Default"/>
        <w:ind w:firstLine="708"/>
        <w:jc w:val="both"/>
      </w:pPr>
      <w:r>
        <w:rPr>
          <w:sz w:val="28"/>
          <w:szCs w:val="28"/>
        </w:rPr>
        <w:t>1.12. Раздел 11 дополнить пунктом 11.11. следующего содержания:</w:t>
      </w:r>
    </w:p>
    <w:p w:rsidR="00AC3FAC" w:rsidRDefault="00124CD4">
      <w:pPr>
        <w:pStyle w:val="Default"/>
        <w:ind w:firstLine="708"/>
        <w:jc w:val="both"/>
      </w:pPr>
      <w:r>
        <w:rPr>
          <w:sz w:val="28"/>
          <w:szCs w:val="28"/>
        </w:rPr>
        <w:t>«1.11. На пунктах мойки места для парковки транспортных средств, входная группа, зоны кассового обслуживания, ожидания, приема пищи (при наличии) и пешеходные коммуникации между ними должны соответствовать требованиям 5.1, раздела 6, 8.4.1– 8.4.8  СП 59.13330.2020.».</w:t>
      </w:r>
    </w:p>
    <w:p w:rsidR="00AC3FAC" w:rsidRDefault="00124CD4">
      <w:pPr>
        <w:pStyle w:val="Default"/>
        <w:ind w:firstLine="708"/>
        <w:jc w:val="both"/>
      </w:pPr>
      <w:r>
        <w:rPr>
          <w:sz w:val="28"/>
          <w:szCs w:val="28"/>
        </w:rPr>
        <w:t xml:space="preserve"> 1.13. Раздел 11 дополнить пунктом 11.12. следующего содержания:</w:t>
      </w:r>
    </w:p>
    <w:p w:rsidR="00AC3FAC" w:rsidRDefault="00124CD4">
      <w:pPr>
        <w:pStyle w:val="Default"/>
        <w:ind w:firstLine="708"/>
        <w:jc w:val="both"/>
      </w:pPr>
      <w:r>
        <w:rPr>
          <w:sz w:val="28"/>
          <w:szCs w:val="28"/>
        </w:rPr>
        <w:t xml:space="preserve">«11.12. Пункты мойки, работающие по технологии самообслуживания, должны быть оборудованы для инвалидов с нарушением слуха световыми сигналами режимов работы моющей установки с учетом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51671.».</w:t>
      </w:r>
    </w:p>
    <w:p w:rsidR="00AC3FAC" w:rsidRPr="00124CD4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 1.14. Пункт 12.3 раздела 12.  изложить в новой редакции:        </w:t>
      </w:r>
    </w:p>
    <w:p w:rsidR="00AC3FAC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«Участие,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Pr="00124CD4" w:rsidRDefault="00124CD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1.15. Подпункт 12.3.1. пункта 12.3. раздела 12 изложить в новой редакции: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«Собственники и (или) иные законные владельцы зданий, строений, сооружений, земельных участков обязаны содержать прилегающую территорию указанных объектов в надлежащем виде, а именно: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>- производить уборку от бытового и строительного мусора, опавшей листвы;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>- производить своевременный покос травы (высота травы не более 15 сантиметров), уничтожать сорную растительность;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>- не допускать размещения на прилегающей территории строительных материалов, дров, спиленных веток;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>- в зимний период, при наличии снега и наледи, своевременно производить уборку снега и наледи, своевременно обрабатывать территорию противогололедными средствами, не допускать образования наледи на пешеходных коммуникациях.</w:t>
      </w:r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Указанные выше работы производить самостоятельно либо с привлечением подрядной организации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AC3FAC" w:rsidRDefault="00124CD4">
      <w:pPr>
        <w:pStyle w:val="a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1.16. Подпункт 12.3.2. пункта 12.3. раздела 12 изложить в новой редакции:</w:t>
      </w:r>
    </w:p>
    <w:p w:rsidR="00AC3FAC" w:rsidRDefault="00124CD4">
      <w:pPr>
        <w:pStyle w:val="af"/>
        <w:tabs>
          <w:tab w:val="left" w:pos="732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«Максимальное расстояние от внутренней части границ прилегающей территории до внешней части границ прилегающей территории составляет 10 метров. Установление и изменение границ прилегающих территорий осуществляется путем утверждения Собранием депутатов Белокалитвинского городского поселения схемы границ прилегающих территорий, являющейся приложением к настоящим Правилам благоустройства. Схема границ прилегающих территорий подготавливается уполномоченным органом поселения в соответствии с </w:t>
      </w:r>
      <w:r>
        <w:rPr>
          <w:sz w:val="28"/>
          <w:szCs w:val="28"/>
          <w:lang w:val="ru-RU" w:eastAsia="zh-CN"/>
        </w:rPr>
        <w:t xml:space="preserve">Областным законом от </w:t>
      </w:r>
      <w:r>
        <w:rPr>
          <w:sz w:val="28"/>
          <w:szCs w:val="28"/>
          <w:lang w:val="ru-RU" w:eastAsia="zh-CN"/>
        </w:rPr>
        <w:lastRenderedPageBreak/>
        <w:t>26.07.2018 № 1426-ЗС «О порядке определения правилами благоустройства территорий муниципальных образований границ прилегающих терри</w:t>
      </w:r>
      <w:r w:rsidR="00256AAC">
        <w:rPr>
          <w:sz w:val="28"/>
          <w:szCs w:val="28"/>
          <w:lang w:val="ru-RU" w:eastAsia="zh-CN"/>
        </w:rPr>
        <w:t>торий</w:t>
      </w:r>
      <w:r>
        <w:rPr>
          <w:sz w:val="28"/>
          <w:szCs w:val="28"/>
          <w:lang w:val="ru-RU" w:eastAsia="zh-CN"/>
        </w:rPr>
        <w:t>»</w:t>
      </w:r>
      <w:r>
        <w:rPr>
          <w:sz w:val="28"/>
          <w:szCs w:val="28"/>
          <w:lang w:val="ru-RU"/>
        </w:rPr>
        <w:t>.</w:t>
      </w:r>
    </w:p>
    <w:p w:rsidR="00AC3FAC" w:rsidRDefault="00124CD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после официального опубликования.</w:t>
      </w:r>
    </w:p>
    <w:p w:rsidR="00AC3FAC" w:rsidRDefault="00124CD4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</w:t>
      </w:r>
    </w:p>
    <w:p w:rsidR="00AC3FAC" w:rsidRDefault="00124CD4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хозяйству, транспорту и дорожной деятельности Беликова С.С. и заместителя главы Администрации Белокалитвинского городского поселения Ващенко Д.Г.</w:t>
      </w: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6"/>
        <w:gridCol w:w="4977"/>
      </w:tblGrid>
      <w:tr w:rsidR="00AC3FAC">
        <w:trPr>
          <w:trHeight w:val="433"/>
        </w:trPr>
        <w:tc>
          <w:tcPr>
            <w:tcW w:w="5385" w:type="dxa"/>
            <w:shd w:val="clear" w:color="auto" w:fill="FFFFFF"/>
          </w:tcPr>
          <w:p w:rsidR="00AC3FAC" w:rsidRDefault="00AC3FAC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AC3FAC" w:rsidRDefault="00AC3FAC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AC3FAC" w:rsidRDefault="00124CD4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:rsidR="00AC3FAC" w:rsidRDefault="00124CD4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  <w:p w:rsidR="00AC3FAC" w:rsidRDefault="00AC3FAC">
            <w:pPr>
              <w:keepNext/>
              <w:tabs>
                <w:tab w:val="left" w:pos="0"/>
              </w:tabs>
              <w:suppressAutoHyphens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7" w:type="dxa"/>
            <w:shd w:val="clear" w:color="auto" w:fill="FFFFFF"/>
          </w:tcPr>
          <w:p w:rsidR="00AC3FAC" w:rsidRDefault="00AC3FAC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:rsidR="00AC3FAC" w:rsidRDefault="00AC3FAC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</w:p>
          <w:p w:rsidR="00AC3FAC" w:rsidRDefault="00124CD4">
            <w:pPr>
              <w:widowControl w:val="0"/>
              <w:tabs>
                <w:tab w:val="left" w:pos="2372"/>
              </w:tabs>
              <w:suppressAutoHyphens/>
              <w:jc w:val="right"/>
              <w:outlineLvl w:val="3"/>
            </w:pPr>
            <w:r>
              <w:rPr>
                <w:sz w:val="28"/>
                <w:szCs w:val="28"/>
                <w:lang w:val="ru-RU"/>
              </w:rPr>
              <w:t>В.А. Рыжкин</w:t>
            </w:r>
          </w:p>
        </w:tc>
      </w:tr>
    </w:tbl>
    <w:p w:rsidR="00AC3FAC" w:rsidRDefault="00124CD4">
      <w:r>
        <w:rPr>
          <w:color w:val="000000"/>
          <w:sz w:val="20"/>
          <w:szCs w:val="20"/>
          <w:lang w:val="ru-RU"/>
        </w:rPr>
        <w:t xml:space="preserve">   </w:t>
      </w:r>
    </w:p>
    <w:p w:rsidR="00AC3FAC" w:rsidRDefault="00AC3FAC">
      <w:pPr>
        <w:rPr>
          <w:lang w:val="ru-RU"/>
        </w:rPr>
      </w:pPr>
    </w:p>
    <w:p w:rsidR="00AC3FAC" w:rsidRDefault="00AC3FAC">
      <w:pPr>
        <w:rPr>
          <w:lang w:val="ru-RU"/>
        </w:rPr>
      </w:pPr>
    </w:p>
    <w:p w:rsidR="00AC3FAC" w:rsidRDefault="00AC3FAC">
      <w:pPr>
        <w:rPr>
          <w:lang w:val="ru-RU"/>
        </w:rPr>
      </w:pPr>
    </w:p>
    <w:p w:rsidR="00AC3FAC" w:rsidRDefault="00AC3FAC">
      <w:pPr>
        <w:jc w:val="right"/>
      </w:pPr>
    </w:p>
    <w:sectPr w:rsidR="00AC3FAC">
      <w:headerReference w:type="default" r:id="rId9"/>
      <w:pgSz w:w="11906" w:h="16838"/>
      <w:pgMar w:top="1126" w:right="566" w:bottom="426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CF" w:rsidRDefault="007F0ACF">
      <w:r>
        <w:separator/>
      </w:r>
    </w:p>
  </w:endnote>
  <w:endnote w:type="continuationSeparator" w:id="0">
    <w:p w:rsidR="007F0ACF" w:rsidRDefault="007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CF" w:rsidRDefault="007F0ACF">
      <w:r>
        <w:separator/>
      </w:r>
    </w:p>
  </w:footnote>
  <w:footnote w:type="continuationSeparator" w:id="0">
    <w:p w:rsidR="007F0ACF" w:rsidRDefault="007F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AC" w:rsidRDefault="00AC3FA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AC"/>
    <w:rsid w:val="000E14AB"/>
    <w:rsid w:val="00124CD4"/>
    <w:rsid w:val="00256AAC"/>
    <w:rsid w:val="00506CF5"/>
    <w:rsid w:val="00676B14"/>
    <w:rsid w:val="007F0ACF"/>
    <w:rsid w:val="00AA415C"/>
    <w:rsid w:val="00A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0"/>
    <w:uiPriority w:val="99"/>
    <w:qFormat/>
    <w:rsid w:val="00C84033"/>
    <w:pPr>
      <w:widowControl w:val="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1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1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1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1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1"/>
    <w:link w:val="a4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1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1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1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6">
    <w:name w:val="Текст выноски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7">
    <w:name w:val="Верхний колонтитул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0">
    <w:name w:val="Верхний колонтитул Знак1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1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1">
    <w:name w:val="Текст выноски Знак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1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1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C84033"/>
    <w:pPr>
      <w:spacing w:after="140" w:line="288" w:lineRule="auto"/>
    </w:pPr>
  </w:style>
  <w:style w:type="paragraph" w:styleId="a9">
    <w:name w:val="List"/>
    <w:basedOn w:val="a8"/>
    <w:uiPriority w:val="99"/>
    <w:rsid w:val="00C8403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c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14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4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5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d">
    <w:name w:val="header"/>
    <w:basedOn w:val="a"/>
    <w:uiPriority w:val="99"/>
    <w:rsid w:val="00C84033"/>
  </w:style>
  <w:style w:type="paragraph" w:customStyle="1" w:styleId="ae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semiHidden/>
    <w:unhideWhenUsed/>
    <w:qFormat/>
    <w:rsid w:val="00821C3F"/>
  </w:style>
  <w:style w:type="paragraph" w:customStyle="1" w:styleId="Default">
    <w:name w:val="Default"/>
    <w:qFormat/>
    <w:rsid w:val="00622B8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0"/>
    <w:uiPriority w:val="99"/>
    <w:qFormat/>
    <w:rsid w:val="00C84033"/>
    <w:pPr>
      <w:widowControl w:val="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1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1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1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20">
    <w:name w:val="Верхний колонтитул Знак2"/>
    <w:basedOn w:val="a1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31">
    <w:name w:val="Текст выноски Знак3"/>
    <w:basedOn w:val="a1"/>
    <w:link w:val="a4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1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1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1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6">
    <w:name w:val="Текст выноски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7">
    <w:name w:val="Верхний колонтитул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0">
    <w:name w:val="Верхний колонтитул Знак1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1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1">
    <w:name w:val="Текст выноски Знак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A00">
    <w:name w:val="A0"/>
    <w:basedOn w:val="a1"/>
    <w:qFormat/>
    <w:rsid w:val="003540D0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2">
    <w:name w:val="Основной текст с отступом 2 Знак"/>
    <w:basedOn w:val="a1"/>
    <w:uiPriority w:val="99"/>
    <w:semiHidden/>
    <w:qFormat/>
    <w:rsid w:val="007B46C5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C84033"/>
    <w:pPr>
      <w:spacing w:after="140" w:line="288" w:lineRule="auto"/>
    </w:pPr>
  </w:style>
  <w:style w:type="paragraph" w:styleId="a9">
    <w:name w:val="List"/>
    <w:basedOn w:val="a8"/>
    <w:uiPriority w:val="99"/>
    <w:rsid w:val="00C8403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c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14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4">
    <w:name w:val="Balloon Text"/>
    <w:basedOn w:val="a"/>
    <w:link w:val="3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5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10">
    <w:name w:val="Основной текст с отступом 2 Знак1"/>
    <w:basedOn w:val="a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d">
    <w:name w:val="header"/>
    <w:basedOn w:val="a"/>
    <w:uiPriority w:val="99"/>
    <w:rsid w:val="00C84033"/>
  </w:style>
  <w:style w:type="paragraph" w:customStyle="1" w:styleId="ae">
    <w:name w:val="Содержимое таблицы"/>
    <w:basedOn w:val="a"/>
    <w:uiPriority w:val="99"/>
    <w:qFormat/>
    <w:rsid w:val="00C84033"/>
  </w:style>
  <w:style w:type="paragraph" w:styleId="23">
    <w:name w:val="Body Text Indent 2"/>
    <w:basedOn w:val="a"/>
    <w:uiPriority w:val="99"/>
    <w:semiHidden/>
    <w:unhideWhenUsed/>
    <w:qFormat/>
    <w:rsid w:val="007B46C5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semiHidden/>
    <w:unhideWhenUsed/>
    <w:qFormat/>
    <w:rsid w:val="00821C3F"/>
  </w:style>
  <w:style w:type="paragraph" w:customStyle="1" w:styleId="Default">
    <w:name w:val="Default"/>
    <w:qFormat/>
    <w:rsid w:val="00622B8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8AE3-767D-4E10-9105-FCCD9AE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2021-11-17T09:06:00Z</cp:lastPrinted>
  <dcterms:created xsi:type="dcterms:W3CDTF">2022-04-21T11:33:00Z</dcterms:created>
  <dcterms:modified xsi:type="dcterms:W3CDTF">2022-04-29T09:06:00Z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