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5360" w:rsidRDefault="003E5360" w:rsidP="00646326">
      <w:pPr>
        <w:jc w:val="both"/>
        <w:rPr>
          <w:sz w:val="28"/>
          <w:szCs w:val="28"/>
        </w:rPr>
      </w:pPr>
    </w:p>
    <w:p w:rsidR="003E5360" w:rsidRDefault="003E5360" w:rsidP="00646326">
      <w:pPr>
        <w:jc w:val="both"/>
        <w:rPr>
          <w:sz w:val="28"/>
          <w:szCs w:val="28"/>
        </w:rPr>
      </w:pPr>
    </w:p>
    <w:p w:rsidR="003E5360" w:rsidRDefault="003E5360" w:rsidP="00646326">
      <w:pPr>
        <w:jc w:val="both"/>
        <w:rPr>
          <w:sz w:val="28"/>
          <w:szCs w:val="28"/>
        </w:rPr>
      </w:pPr>
    </w:p>
    <w:p w:rsidR="003E5360" w:rsidRDefault="003E5360" w:rsidP="003E5360">
      <w:pPr>
        <w:jc w:val="right"/>
      </w:pPr>
      <w:r>
        <w:t>Приложение к постановлению</w:t>
      </w:r>
    </w:p>
    <w:p w:rsidR="003E5360" w:rsidRDefault="003E5360" w:rsidP="003E5360">
      <w:pPr>
        <w:jc w:val="right"/>
      </w:pPr>
      <w:r>
        <w:t xml:space="preserve">Председателя Собрания депутатов – главы </w:t>
      </w:r>
    </w:p>
    <w:p w:rsidR="003E5360" w:rsidRDefault="003E5360" w:rsidP="003E5360">
      <w:pPr>
        <w:jc w:val="right"/>
      </w:pPr>
      <w:r>
        <w:t>Белокалитвинского городского поселения</w:t>
      </w:r>
    </w:p>
    <w:p w:rsidR="003E5360" w:rsidRDefault="003E5360" w:rsidP="003E5360">
      <w:pPr>
        <w:jc w:val="right"/>
      </w:pPr>
      <w:r>
        <w:rPr>
          <w:color w:val="000000"/>
        </w:rPr>
        <w:t xml:space="preserve"> </w:t>
      </w:r>
      <w:r>
        <w:t>от</w:t>
      </w:r>
      <w:r w:rsidR="004458B7">
        <w:t xml:space="preserve"> 25.02.</w:t>
      </w:r>
      <w:r>
        <w:rPr>
          <w:color w:val="000000"/>
        </w:rPr>
        <w:t xml:space="preserve">2021 № </w:t>
      </w:r>
      <w:r w:rsidR="004458B7">
        <w:rPr>
          <w:color w:val="000000"/>
        </w:rPr>
        <w:t>3</w:t>
      </w:r>
    </w:p>
    <w:p w:rsidR="003E5360" w:rsidRDefault="003E5360" w:rsidP="003E5360"/>
    <w:p w:rsidR="00B74088" w:rsidRDefault="00B74088" w:rsidP="003E5360">
      <w:pPr>
        <w:pStyle w:val="1"/>
        <w:tabs>
          <w:tab w:val="num" w:pos="0"/>
          <w:tab w:val="left" w:pos="240"/>
          <w:tab w:val="left" w:pos="560"/>
        </w:tabs>
        <w:jc w:val="center"/>
        <w:rPr>
          <w:b/>
          <w:sz w:val="28"/>
          <w:szCs w:val="28"/>
        </w:rPr>
      </w:pPr>
    </w:p>
    <w:p w:rsidR="003E5360" w:rsidRDefault="003E5360" w:rsidP="003E5360">
      <w:pPr>
        <w:pStyle w:val="1"/>
        <w:tabs>
          <w:tab w:val="num" w:pos="0"/>
          <w:tab w:val="left" w:pos="240"/>
          <w:tab w:val="left" w:pos="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внесения изменений в </w:t>
      </w:r>
      <w:r w:rsidR="007E412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равила землепользования и застройки Белокалитвинского городского поселения</w:t>
      </w:r>
    </w:p>
    <w:p w:rsidR="003E5360" w:rsidRDefault="003E5360" w:rsidP="003E5360">
      <w:pPr>
        <w:ind w:firstLine="539"/>
        <w:rPr>
          <w:b/>
          <w:sz w:val="28"/>
          <w:szCs w:val="28"/>
        </w:rPr>
      </w:pPr>
    </w:p>
    <w:p w:rsidR="00B74088" w:rsidRDefault="00B74088" w:rsidP="003E5360">
      <w:pPr>
        <w:ind w:firstLine="539"/>
        <w:rPr>
          <w:b/>
          <w:sz w:val="28"/>
          <w:szCs w:val="28"/>
        </w:rPr>
      </w:pPr>
    </w:p>
    <w:p w:rsidR="003E5360" w:rsidRPr="003E5360" w:rsidRDefault="003E5360" w:rsidP="003E5360">
      <w:pPr>
        <w:ind w:firstLine="539"/>
        <w:jc w:val="both"/>
        <w:rPr>
          <w:color w:val="FF0000"/>
          <w:sz w:val="28"/>
          <w:szCs w:val="28"/>
        </w:rPr>
      </w:pPr>
      <w:r w:rsidRPr="002B0041">
        <w:rPr>
          <w:color w:val="auto"/>
          <w:sz w:val="28"/>
          <w:szCs w:val="28"/>
        </w:rPr>
        <w:t>В соответствии со ст</w:t>
      </w:r>
      <w:r w:rsidR="002B0041">
        <w:rPr>
          <w:color w:val="auto"/>
          <w:sz w:val="28"/>
          <w:szCs w:val="28"/>
        </w:rPr>
        <w:t>атьями</w:t>
      </w:r>
      <w:r w:rsidRPr="002B0041">
        <w:rPr>
          <w:color w:val="auto"/>
          <w:sz w:val="28"/>
          <w:szCs w:val="28"/>
        </w:rPr>
        <w:t xml:space="preserve"> 31, 33 Градостроительного кодекса Российской Федерации, в связи с необходимостью совершенствования порядка регулирования землепользования и застройки на территории Белокалитвинского городского поселения, выявления фактов,  при которых в результате применения </w:t>
      </w:r>
      <w:r w:rsidR="007E4121">
        <w:rPr>
          <w:color w:val="auto"/>
          <w:sz w:val="28"/>
          <w:szCs w:val="28"/>
        </w:rPr>
        <w:t>П</w:t>
      </w:r>
      <w:r w:rsidRPr="002B0041">
        <w:rPr>
          <w:color w:val="auto"/>
          <w:sz w:val="28"/>
          <w:szCs w:val="28"/>
        </w:rPr>
        <w:t xml:space="preserve">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не реализуются права и законные интересы граждан, </w:t>
      </w:r>
      <w:r w:rsidR="007E4121">
        <w:rPr>
          <w:color w:val="auto"/>
          <w:sz w:val="28"/>
          <w:szCs w:val="28"/>
        </w:rPr>
        <w:t xml:space="preserve">на основании </w:t>
      </w:r>
      <w:r w:rsidRPr="002B0041">
        <w:rPr>
          <w:color w:val="auto"/>
          <w:sz w:val="28"/>
          <w:szCs w:val="28"/>
        </w:rPr>
        <w:t>постановлени</w:t>
      </w:r>
      <w:r w:rsidR="007E4121">
        <w:rPr>
          <w:color w:val="auto"/>
          <w:sz w:val="28"/>
          <w:szCs w:val="28"/>
        </w:rPr>
        <w:t>я</w:t>
      </w:r>
      <w:r w:rsidRPr="002B0041">
        <w:rPr>
          <w:color w:val="auto"/>
          <w:sz w:val="28"/>
          <w:szCs w:val="28"/>
        </w:rPr>
        <w:t xml:space="preserve"> Администрации Белокалитвинского городского </w:t>
      </w:r>
      <w:r w:rsidRPr="007E4121">
        <w:rPr>
          <w:color w:val="auto"/>
          <w:sz w:val="28"/>
          <w:szCs w:val="28"/>
        </w:rPr>
        <w:t xml:space="preserve">поселения от </w:t>
      </w:r>
      <w:r w:rsidR="007E4121" w:rsidRPr="007E4121">
        <w:rPr>
          <w:color w:val="auto"/>
          <w:sz w:val="28"/>
          <w:szCs w:val="28"/>
        </w:rPr>
        <w:t>11</w:t>
      </w:r>
      <w:r w:rsidRPr="007E4121">
        <w:rPr>
          <w:color w:val="auto"/>
          <w:sz w:val="28"/>
          <w:szCs w:val="28"/>
        </w:rPr>
        <w:t>.</w:t>
      </w:r>
      <w:r w:rsidR="007E4121" w:rsidRPr="007E4121">
        <w:rPr>
          <w:color w:val="auto"/>
          <w:sz w:val="28"/>
          <w:szCs w:val="28"/>
        </w:rPr>
        <w:t>02</w:t>
      </w:r>
      <w:r w:rsidRPr="007E4121">
        <w:rPr>
          <w:color w:val="auto"/>
          <w:sz w:val="28"/>
          <w:szCs w:val="28"/>
        </w:rPr>
        <w:t>.20</w:t>
      </w:r>
      <w:r w:rsidR="007E4121" w:rsidRPr="007E4121">
        <w:rPr>
          <w:color w:val="auto"/>
          <w:sz w:val="28"/>
          <w:szCs w:val="28"/>
        </w:rPr>
        <w:t>21</w:t>
      </w:r>
      <w:r w:rsidRPr="007E4121">
        <w:rPr>
          <w:color w:val="auto"/>
          <w:sz w:val="28"/>
          <w:szCs w:val="28"/>
        </w:rPr>
        <w:t xml:space="preserve"> №</w:t>
      </w:r>
      <w:r w:rsidR="007E4121" w:rsidRPr="007E4121">
        <w:rPr>
          <w:color w:val="auto"/>
          <w:sz w:val="28"/>
          <w:szCs w:val="28"/>
        </w:rPr>
        <w:t>25</w:t>
      </w:r>
      <w:r w:rsidRPr="007E4121">
        <w:rPr>
          <w:color w:val="auto"/>
          <w:sz w:val="28"/>
          <w:szCs w:val="28"/>
        </w:rPr>
        <w:t xml:space="preserve"> «О подготовке проекта о внесении изменений в </w:t>
      </w:r>
      <w:r w:rsidR="007E4121" w:rsidRPr="007E4121">
        <w:rPr>
          <w:color w:val="auto"/>
          <w:sz w:val="28"/>
          <w:szCs w:val="28"/>
        </w:rPr>
        <w:t>П</w:t>
      </w:r>
      <w:r w:rsidRPr="007E4121">
        <w:rPr>
          <w:color w:val="auto"/>
          <w:sz w:val="28"/>
          <w:szCs w:val="28"/>
        </w:rPr>
        <w:t>равила землепользования  и застройки Белокалитвинского городского поселения»,</w:t>
      </w:r>
      <w:r w:rsidRPr="007E4121">
        <w:rPr>
          <w:color w:val="auto"/>
          <w:spacing w:val="-1"/>
          <w:sz w:val="28"/>
          <w:szCs w:val="28"/>
        </w:rPr>
        <w:t xml:space="preserve"> </w:t>
      </w:r>
      <w:r w:rsidRPr="007E4121">
        <w:rPr>
          <w:color w:val="auto"/>
          <w:sz w:val="28"/>
          <w:szCs w:val="28"/>
        </w:rPr>
        <w:t xml:space="preserve">заключения </w:t>
      </w:r>
      <w:r w:rsidRPr="007E4121">
        <w:rPr>
          <w:color w:val="auto"/>
          <w:spacing w:val="-1"/>
          <w:sz w:val="28"/>
          <w:szCs w:val="28"/>
        </w:rPr>
        <w:t>комиссии,</w:t>
      </w:r>
      <w:r w:rsidRPr="007E4121">
        <w:rPr>
          <w:color w:val="auto"/>
          <w:sz w:val="28"/>
          <w:szCs w:val="28"/>
        </w:rPr>
        <w:t xml:space="preserve"> назначенной постановлением </w:t>
      </w:r>
      <w:r w:rsidRPr="002B0041">
        <w:rPr>
          <w:color w:val="auto"/>
          <w:sz w:val="28"/>
          <w:szCs w:val="28"/>
        </w:rPr>
        <w:t xml:space="preserve">Администрации Белокалитвинского городского поселения от 03.04.2013 № 62 </w:t>
      </w:r>
      <w:r w:rsidR="002B0041">
        <w:rPr>
          <w:color w:val="auto"/>
          <w:sz w:val="28"/>
          <w:szCs w:val="28"/>
        </w:rPr>
        <w:t>(в редакции</w:t>
      </w:r>
      <w:r w:rsidRPr="002B0041">
        <w:rPr>
          <w:color w:val="auto"/>
          <w:sz w:val="28"/>
          <w:szCs w:val="28"/>
        </w:rPr>
        <w:t xml:space="preserve"> от </w:t>
      </w:r>
      <w:r w:rsidR="002B0041">
        <w:rPr>
          <w:color w:val="auto"/>
          <w:sz w:val="28"/>
          <w:szCs w:val="28"/>
        </w:rPr>
        <w:t>10</w:t>
      </w:r>
      <w:r w:rsidRPr="002B0041">
        <w:rPr>
          <w:color w:val="auto"/>
          <w:sz w:val="28"/>
          <w:szCs w:val="28"/>
        </w:rPr>
        <w:t>.0</w:t>
      </w:r>
      <w:r w:rsidR="002B0041">
        <w:rPr>
          <w:color w:val="auto"/>
          <w:sz w:val="28"/>
          <w:szCs w:val="28"/>
        </w:rPr>
        <w:t>9</w:t>
      </w:r>
      <w:r w:rsidRPr="002B0041">
        <w:rPr>
          <w:color w:val="auto"/>
          <w:sz w:val="28"/>
          <w:szCs w:val="28"/>
        </w:rPr>
        <w:t>.20</w:t>
      </w:r>
      <w:r w:rsidR="002B0041">
        <w:rPr>
          <w:color w:val="auto"/>
          <w:sz w:val="28"/>
          <w:szCs w:val="28"/>
        </w:rPr>
        <w:t>20</w:t>
      </w:r>
      <w:r w:rsidRPr="002B0041">
        <w:rPr>
          <w:color w:val="auto"/>
          <w:sz w:val="28"/>
          <w:szCs w:val="28"/>
        </w:rPr>
        <w:t xml:space="preserve"> №</w:t>
      </w:r>
      <w:r w:rsidR="002B0041">
        <w:rPr>
          <w:color w:val="auto"/>
          <w:sz w:val="28"/>
          <w:szCs w:val="28"/>
        </w:rPr>
        <w:t>319)</w:t>
      </w:r>
      <w:r w:rsidRPr="002B0041">
        <w:rPr>
          <w:color w:val="auto"/>
          <w:sz w:val="28"/>
          <w:szCs w:val="28"/>
        </w:rPr>
        <w:t xml:space="preserve"> «</w:t>
      </w:r>
      <w:r w:rsidRPr="002B0041">
        <w:rPr>
          <w:bCs/>
          <w:color w:val="auto"/>
          <w:sz w:val="28"/>
          <w:szCs w:val="28"/>
        </w:rPr>
        <w:t>Об утверждении Положения о комиссии</w:t>
      </w:r>
      <w:r w:rsidRPr="002B0041">
        <w:rPr>
          <w:b/>
          <w:bCs/>
          <w:color w:val="auto"/>
          <w:sz w:val="28"/>
          <w:szCs w:val="28"/>
        </w:rPr>
        <w:t xml:space="preserve"> </w:t>
      </w:r>
      <w:r w:rsidRPr="002B0041">
        <w:rPr>
          <w:color w:val="auto"/>
          <w:sz w:val="28"/>
          <w:szCs w:val="28"/>
        </w:rPr>
        <w:t xml:space="preserve">по вопросам контроля за соблюдением </w:t>
      </w:r>
      <w:r w:rsidR="007E4121">
        <w:rPr>
          <w:color w:val="auto"/>
          <w:sz w:val="28"/>
          <w:szCs w:val="28"/>
        </w:rPr>
        <w:t>П</w:t>
      </w:r>
      <w:r w:rsidRPr="002B0041">
        <w:rPr>
          <w:color w:val="auto"/>
          <w:sz w:val="28"/>
          <w:szCs w:val="28"/>
        </w:rPr>
        <w:t xml:space="preserve">равил землепользования и застройки Белокалитвинского городского поселения», вносится предложение о внесении изменений в </w:t>
      </w:r>
      <w:r w:rsidR="007E4121">
        <w:rPr>
          <w:color w:val="auto"/>
          <w:sz w:val="28"/>
          <w:szCs w:val="28"/>
        </w:rPr>
        <w:t>П</w:t>
      </w:r>
      <w:r w:rsidRPr="002B0041">
        <w:rPr>
          <w:color w:val="auto"/>
          <w:sz w:val="28"/>
          <w:szCs w:val="28"/>
        </w:rPr>
        <w:t>равила землепользования и застройки Белокалитвинского городского поселения</w:t>
      </w:r>
      <w:r w:rsidRPr="003E5360">
        <w:rPr>
          <w:color w:val="FF0000"/>
          <w:sz w:val="28"/>
          <w:szCs w:val="28"/>
        </w:rPr>
        <w:t>:</w:t>
      </w:r>
    </w:p>
    <w:p w:rsidR="00110634" w:rsidRDefault="002B0041" w:rsidP="002B0041">
      <w:pPr>
        <w:pStyle w:val="afa"/>
        <w:numPr>
          <w:ilvl w:val="0"/>
          <w:numId w:val="1"/>
        </w:numPr>
        <w:snapToGrid w:val="0"/>
        <w:ind w:left="0" w:firstLine="709"/>
        <w:jc w:val="both"/>
        <w:rPr>
          <w:color w:val="auto"/>
          <w:sz w:val="28"/>
          <w:szCs w:val="28"/>
        </w:rPr>
      </w:pPr>
      <w:r w:rsidRPr="002F7AFB">
        <w:rPr>
          <w:color w:val="auto"/>
          <w:sz w:val="28"/>
          <w:szCs w:val="28"/>
        </w:rPr>
        <w:t xml:space="preserve">В разделе </w:t>
      </w:r>
      <w:r w:rsidRPr="002F7AFB">
        <w:rPr>
          <w:color w:val="auto"/>
          <w:sz w:val="28"/>
          <w:szCs w:val="28"/>
          <w:lang w:val="en-US"/>
        </w:rPr>
        <w:t>II</w:t>
      </w:r>
      <w:r w:rsidRPr="002F7AFB">
        <w:rPr>
          <w:color w:val="auto"/>
          <w:sz w:val="28"/>
          <w:szCs w:val="28"/>
        </w:rPr>
        <w:t>. «Карта градостроительного зонирования» (графическая часть) изменить зону ОЖ «Зона общественно-жилой застройки» по ул. Вокзальная в г. Белая Калитва на зону ОД «Зона делового, общественного и коммерческого назначения, религиозных сооружений»</w:t>
      </w:r>
      <w:r w:rsidR="00110634">
        <w:rPr>
          <w:color w:val="auto"/>
          <w:sz w:val="28"/>
          <w:szCs w:val="28"/>
        </w:rPr>
        <w:t>.</w:t>
      </w:r>
    </w:p>
    <w:p w:rsidR="002B0041" w:rsidRDefault="002B0041" w:rsidP="002B0041">
      <w:pPr>
        <w:pStyle w:val="af9"/>
        <w:numPr>
          <w:ilvl w:val="0"/>
          <w:numId w:val="1"/>
        </w:numPr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«Градостроительные регламенты». Главы 9. «Градостроительные регламенты территориальных зон»: </w:t>
      </w:r>
    </w:p>
    <w:p w:rsidR="002B0041" w:rsidRPr="00BC688C" w:rsidRDefault="002B0041" w:rsidP="002B0041">
      <w:pPr>
        <w:pStyle w:val="2"/>
        <w:keepNext w:val="0"/>
        <w:keepLines/>
        <w:widowControl w:val="0"/>
        <w:ind w:firstLine="709"/>
        <w:jc w:val="both"/>
        <w:rPr>
          <w:b w:val="0"/>
          <w:color w:val="auto"/>
          <w:sz w:val="28"/>
          <w:szCs w:val="28"/>
        </w:rPr>
      </w:pPr>
      <w:r w:rsidRPr="00BC688C">
        <w:rPr>
          <w:b w:val="0"/>
          <w:color w:val="auto"/>
          <w:sz w:val="28"/>
          <w:szCs w:val="28"/>
        </w:rPr>
        <w:t xml:space="preserve">2.1. В статье 41 «Зона застройки малоэтажными жилыми домами индивидуальной жилой застройки, высотой не выше трёх надземных этажей, малоэтажными многоквартирными жилыми, домами высотой не выше четырех надземных этажей (Ж1)» </w:t>
      </w:r>
      <w:r>
        <w:rPr>
          <w:b w:val="0"/>
          <w:color w:val="auto"/>
          <w:sz w:val="28"/>
          <w:szCs w:val="28"/>
        </w:rPr>
        <w:t>пп.</w:t>
      </w:r>
      <w:r w:rsidRPr="00BC688C">
        <w:rPr>
          <w:b w:val="0"/>
          <w:color w:val="auto"/>
          <w:sz w:val="28"/>
          <w:szCs w:val="28"/>
        </w:rPr>
        <w:t xml:space="preserve"> 2.3 ч.3 предельных параметров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949"/>
        <w:gridCol w:w="1280"/>
        <w:gridCol w:w="4617"/>
      </w:tblGrid>
      <w:tr w:rsidR="002B0041" w:rsidRPr="00BC688C" w:rsidTr="00AE229E">
        <w:trPr>
          <w:trHeight w:val="291"/>
        </w:trPr>
        <w:tc>
          <w:tcPr>
            <w:tcW w:w="796" w:type="dxa"/>
            <w:vMerge w:val="restart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303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границы соседнего земельного участка, м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47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домов не менее 3* м, от построек для содержания скота и птицы не менее 4 м, от других построек (бани, гаража и др.) не менее 1 м, от стволов высокорослых деревьев — 4 м, от стволов среднерослых деревьев — 2 м и от кустарников - не менее 1 м</w:t>
            </w:r>
          </w:p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lastRenderedPageBreak/>
              <w:t>* В условиях градостроительной реконструкции, а также при ширине земельного участка 12 м - не менее 1 м при условии соблюдения строительных, экологических, санитарно-гигиенических, противопожарных и иных норм правил.</w:t>
            </w:r>
          </w:p>
        </w:tc>
      </w:tr>
      <w:tr w:rsidR="002B0041" w:rsidRPr="00BC688C" w:rsidTr="00AE229E">
        <w:trPr>
          <w:trHeight w:val="291"/>
        </w:trPr>
        <w:tc>
          <w:tcPr>
            <w:tcW w:w="796" w:type="dxa"/>
            <w:vMerge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0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прочие</w:t>
            </w:r>
          </w:p>
        </w:tc>
        <w:tc>
          <w:tcPr>
            <w:tcW w:w="47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3,0*</w:t>
            </w:r>
          </w:p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* При ширине земельного участка 12 м - не менее 1 м при условии соблюдения строительных, экологических, санитарно-гигиенических, противопожарных и иных норм правил.</w:t>
            </w:r>
          </w:p>
        </w:tc>
      </w:tr>
      <w:tr w:rsidR="002B0041" w:rsidRPr="00BC688C" w:rsidTr="00AE229E">
        <w:trPr>
          <w:trHeight w:val="291"/>
        </w:trPr>
        <w:tc>
          <w:tcPr>
            <w:tcW w:w="796" w:type="dxa"/>
            <w:vMerge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0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 при блокированной застройке</w:t>
            </w:r>
          </w:p>
        </w:tc>
        <w:tc>
          <w:tcPr>
            <w:tcW w:w="47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не устанавливается</w:t>
            </w:r>
          </w:p>
        </w:tc>
      </w:tr>
    </w:tbl>
    <w:p w:rsidR="002B0041" w:rsidRPr="00BC688C" w:rsidRDefault="002B0041" w:rsidP="002B0041">
      <w:pPr>
        <w:pStyle w:val="2"/>
        <w:keepNext w:val="0"/>
        <w:keepLines/>
        <w:widowControl w:val="0"/>
        <w:ind w:firstLine="709"/>
        <w:jc w:val="both"/>
        <w:rPr>
          <w:b w:val="0"/>
          <w:color w:val="auto"/>
          <w:sz w:val="28"/>
          <w:szCs w:val="28"/>
        </w:rPr>
      </w:pPr>
      <w:r w:rsidRPr="00BC688C">
        <w:rPr>
          <w:b w:val="0"/>
          <w:color w:val="auto"/>
          <w:sz w:val="28"/>
          <w:szCs w:val="28"/>
        </w:rPr>
        <w:t>2.2.</w:t>
      </w:r>
      <w:r w:rsidRPr="00BC688C">
        <w:rPr>
          <w:color w:val="auto"/>
          <w:sz w:val="28"/>
          <w:szCs w:val="28"/>
        </w:rPr>
        <w:t xml:space="preserve"> </w:t>
      </w:r>
      <w:r w:rsidRPr="00BC688C">
        <w:rPr>
          <w:b w:val="0"/>
          <w:color w:val="auto"/>
          <w:sz w:val="28"/>
          <w:szCs w:val="28"/>
        </w:rPr>
        <w:t>В статье 42 «Зона застройки среднеэтажными жилыми домами высотой от пяти до восьми надземных этажей включительно (Ж2)», статье 43 «</w:t>
      </w:r>
      <w:r w:rsidRPr="00BC688C">
        <w:rPr>
          <w:b w:val="0"/>
          <w:color w:val="auto"/>
          <w:kern w:val="1"/>
          <w:sz w:val="28"/>
          <w:szCs w:val="28"/>
        </w:rPr>
        <w:t>Зона застройки многоэтажными многоквартирными жилыми домами (Ж3)»</w:t>
      </w:r>
      <w:r w:rsidRPr="00BC688C">
        <w:rPr>
          <w:b w:val="0"/>
          <w:color w:val="auto"/>
          <w:sz w:val="28"/>
          <w:szCs w:val="28"/>
        </w:rPr>
        <w:t xml:space="preserve"> пп.2.3 ч.3 предельных параметров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949"/>
        <w:gridCol w:w="1280"/>
        <w:gridCol w:w="4617"/>
      </w:tblGrid>
      <w:tr w:rsidR="002B0041" w:rsidRPr="00BC688C" w:rsidTr="00AE229E">
        <w:trPr>
          <w:trHeight w:val="251"/>
        </w:trPr>
        <w:tc>
          <w:tcPr>
            <w:tcW w:w="796" w:type="dxa"/>
            <w:vMerge w:val="restart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303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границы соседнего земельного участка, м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47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3</w:t>
            </w:r>
            <w:r w:rsidR="007E4121">
              <w:rPr>
                <w:color w:val="auto"/>
                <w:sz w:val="22"/>
                <w:szCs w:val="22"/>
              </w:rPr>
              <w:t>,0</w:t>
            </w:r>
            <w:r w:rsidRPr="0084563F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B0041" w:rsidRPr="00BC688C" w:rsidTr="00AE229E">
        <w:trPr>
          <w:trHeight w:val="291"/>
        </w:trPr>
        <w:tc>
          <w:tcPr>
            <w:tcW w:w="796" w:type="dxa"/>
            <w:vMerge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0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 при блокированной застройке</w:t>
            </w:r>
          </w:p>
        </w:tc>
        <w:tc>
          <w:tcPr>
            <w:tcW w:w="47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не устанавливается</w:t>
            </w:r>
          </w:p>
        </w:tc>
      </w:tr>
    </w:tbl>
    <w:p w:rsidR="002B0041" w:rsidRDefault="002B0041" w:rsidP="002B0041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 статье 44 «Зона делового, общественного и коммерческого назначения (ОД)»:</w:t>
      </w:r>
    </w:p>
    <w:p w:rsidR="002B0041" w:rsidRDefault="002B0041" w:rsidP="002B0041">
      <w:pPr>
        <w:snapToGri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после слов «Зона делового, общественного и коммерческого назначения» добавить слова «, религиозные сооружения»;</w:t>
      </w:r>
    </w:p>
    <w:p w:rsidR="002B0041" w:rsidRDefault="002B0041" w:rsidP="002B0041">
      <w:pPr>
        <w:snapToGri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в условно разрешенные виды использования добавить вид </w:t>
      </w:r>
      <w:r w:rsidR="007E4121">
        <w:rPr>
          <w:color w:val="auto"/>
          <w:sz w:val="28"/>
          <w:szCs w:val="28"/>
        </w:rPr>
        <w:t>с кодом: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57"/>
        <w:gridCol w:w="3699"/>
        <w:gridCol w:w="2675"/>
      </w:tblGrid>
      <w:tr w:rsidR="002B0041" w:rsidRPr="002F7AFB" w:rsidTr="00AE229E">
        <w:tc>
          <w:tcPr>
            <w:tcW w:w="695" w:type="dxa"/>
          </w:tcPr>
          <w:p w:rsidR="002B0041" w:rsidRPr="0084563F" w:rsidRDefault="002B0041" w:rsidP="00AE229E">
            <w:pPr>
              <w:rPr>
                <w:sz w:val="22"/>
                <w:szCs w:val="22"/>
              </w:rPr>
            </w:pPr>
            <w:r w:rsidRPr="0084563F">
              <w:rPr>
                <w:sz w:val="22"/>
                <w:szCs w:val="22"/>
              </w:rPr>
              <w:t>7.2.2</w:t>
            </w:r>
          </w:p>
        </w:tc>
        <w:tc>
          <w:tcPr>
            <w:tcW w:w="2534" w:type="dxa"/>
          </w:tcPr>
          <w:p w:rsidR="002B0041" w:rsidRPr="0084563F" w:rsidRDefault="002B0041" w:rsidP="00AE22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4563F">
              <w:rPr>
                <w:sz w:val="22"/>
                <w:szCs w:val="22"/>
              </w:rPr>
              <w:t>Обслуживание перевозок пассажиров</w:t>
            </w:r>
          </w:p>
        </w:tc>
        <w:tc>
          <w:tcPr>
            <w:tcW w:w="3864" w:type="dxa"/>
          </w:tcPr>
          <w:p w:rsidR="002B0041" w:rsidRPr="0084563F" w:rsidRDefault="002B0041" w:rsidP="00AE229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4563F">
              <w:rPr>
                <w:sz w:val="22"/>
                <w:szCs w:val="22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</w:t>
            </w:r>
            <w:r w:rsidRPr="0084563F">
              <w:rPr>
                <w:color w:val="000000"/>
                <w:sz w:val="22"/>
                <w:szCs w:val="22"/>
              </w:rPr>
              <w:t xml:space="preserve"> </w:t>
            </w:r>
            <w:hyperlink w:anchor="P584" w:history="1">
              <w:r w:rsidRPr="0084563F">
                <w:rPr>
                  <w:color w:val="000000"/>
                  <w:sz w:val="22"/>
                  <w:szCs w:val="22"/>
                </w:rPr>
                <w:t>кодом 7.6</w:t>
              </w:r>
            </w:hyperlink>
          </w:p>
        </w:tc>
        <w:tc>
          <w:tcPr>
            <w:tcW w:w="2766" w:type="dxa"/>
          </w:tcPr>
          <w:p w:rsidR="002B0041" w:rsidRPr="0084563F" w:rsidRDefault="002B0041" w:rsidP="00AE229E">
            <w:pPr>
              <w:jc w:val="both"/>
              <w:rPr>
                <w:sz w:val="22"/>
                <w:szCs w:val="22"/>
              </w:rPr>
            </w:pPr>
            <w:r w:rsidRPr="0084563F">
              <w:rPr>
                <w:sz w:val="22"/>
                <w:szCs w:val="22"/>
              </w:rPr>
              <w:t>инженерные сооружения коммунального обслуживания; сооружения инженерной защиты</w:t>
            </w:r>
          </w:p>
        </w:tc>
      </w:tr>
    </w:tbl>
    <w:p w:rsidR="002B0041" w:rsidRPr="002F7AFB" w:rsidRDefault="002B0041" w:rsidP="002B0041">
      <w:pPr>
        <w:pStyle w:val="2"/>
        <w:keepNext w:val="0"/>
        <w:keepLines/>
        <w:widowControl w:val="0"/>
        <w:ind w:firstLine="709"/>
        <w:jc w:val="both"/>
        <w:rPr>
          <w:b w:val="0"/>
          <w:color w:val="auto"/>
          <w:sz w:val="28"/>
          <w:szCs w:val="28"/>
        </w:rPr>
      </w:pPr>
      <w:r w:rsidRPr="002F7AFB">
        <w:rPr>
          <w:b w:val="0"/>
          <w:color w:val="auto"/>
          <w:sz w:val="28"/>
          <w:szCs w:val="28"/>
        </w:rPr>
        <w:t>2.</w:t>
      </w:r>
      <w:r>
        <w:rPr>
          <w:b w:val="0"/>
          <w:color w:val="auto"/>
          <w:sz w:val="28"/>
          <w:szCs w:val="28"/>
        </w:rPr>
        <w:t>3</w:t>
      </w:r>
      <w:r w:rsidRPr="002F7AFB">
        <w:rPr>
          <w:b w:val="0"/>
          <w:color w:val="auto"/>
          <w:sz w:val="28"/>
          <w:szCs w:val="28"/>
        </w:rPr>
        <w:t>.3. п.2 ч.3</w:t>
      </w:r>
      <w:r>
        <w:rPr>
          <w:b w:val="0"/>
          <w:color w:val="auto"/>
          <w:sz w:val="28"/>
          <w:szCs w:val="28"/>
        </w:rPr>
        <w:t xml:space="preserve"> предельных параметров</w:t>
      </w:r>
      <w:r w:rsidRPr="002F7AFB">
        <w:rPr>
          <w:b w:val="0"/>
          <w:color w:val="auto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948"/>
        <w:gridCol w:w="1141"/>
        <w:gridCol w:w="4761"/>
      </w:tblGrid>
      <w:tr w:rsidR="002B0041" w:rsidRPr="00E87624" w:rsidTr="00AE229E">
        <w:tc>
          <w:tcPr>
            <w:tcW w:w="1083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Минимальные отступы в целях определения мест допустимого размещения зданий, строений, сооружений: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7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2B0041" w:rsidRPr="00E87624" w:rsidTr="00AE229E">
        <w:tc>
          <w:tcPr>
            <w:tcW w:w="1083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4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красной линии улицы, м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 xml:space="preserve">5,0 </w:t>
            </w:r>
          </w:p>
        </w:tc>
      </w:tr>
      <w:tr w:rsidR="002B0041" w:rsidRPr="00E87624" w:rsidTr="00AE229E">
        <w:tc>
          <w:tcPr>
            <w:tcW w:w="1083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красной линии проезда, м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3,0</w:t>
            </w:r>
          </w:p>
        </w:tc>
      </w:tr>
      <w:tr w:rsidR="002B0041" w:rsidRPr="00E87624" w:rsidTr="00AE229E">
        <w:tc>
          <w:tcPr>
            <w:tcW w:w="1083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4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границы соседнего земельного участка, м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3</w:t>
            </w:r>
            <w:r w:rsidR="007E4121">
              <w:rPr>
                <w:color w:val="auto"/>
                <w:sz w:val="22"/>
                <w:szCs w:val="22"/>
              </w:rPr>
              <w:t>,0</w:t>
            </w:r>
            <w:r w:rsidRPr="0084563F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B0041" w:rsidRPr="00E87624" w:rsidTr="00AE229E">
        <w:tc>
          <w:tcPr>
            <w:tcW w:w="1083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 при блокированной застройке</w:t>
            </w:r>
          </w:p>
        </w:tc>
        <w:tc>
          <w:tcPr>
            <w:tcW w:w="7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не устанавливается</w:t>
            </w:r>
          </w:p>
        </w:tc>
      </w:tr>
    </w:tbl>
    <w:p w:rsidR="00B74088" w:rsidRDefault="00B74088" w:rsidP="002B0041">
      <w:pPr>
        <w:pStyle w:val="2"/>
        <w:keepNext w:val="0"/>
        <w:keepLines/>
        <w:widowControl w:val="0"/>
        <w:jc w:val="both"/>
        <w:rPr>
          <w:b w:val="0"/>
          <w:color w:val="auto"/>
          <w:sz w:val="28"/>
          <w:szCs w:val="28"/>
        </w:rPr>
      </w:pPr>
    </w:p>
    <w:p w:rsidR="00B74088" w:rsidRDefault="00B74088" w:rsidP="002B0041">
      <w:pPr>
        <w:pStyle w:val="2"/>
        <w:keepNext w:val="0"/>
        <w:keepLines/>
        <w:widowControl w:val="0"/>
        <w:jc w:val="both"/>
        <w:rPr>
          <w:b w:val="0"/>
          <w:color w:val="auto"/>
          <w:sz w:val="28"/>
          <w:szCs w:val="28"/>
        </w:rPr>
      </w:pPr>
    </w:p>
    <w:p w:rsidR="002B0041" w:rsidRDefault="002B0041" w:rsidP="002B0041">
      <w:pPr>
        <w:pStyle w:val="2"/>
        <w:keepNext w:val="0"/>
        <w:keepLines/>
        <w:widowControl w:val="0"/>
        <w:jc w:val="both"/>
        <w:rPr>
          <w:b w:val="0"/>
          <w:color w:val="auto"/>
          <w:sz w:val="28"/>
          <w:szCs w:val="28"/>
        </w:rPr>
      </w:pPr>
      <w:r w:rsidRPr="00BC688C">
        <w:rPr>
          <w:b w:val="0"/>
          <w:color w:val="auto"/>
          <w:sz w:val="28"/>
          <w:szCs w:val="28"/>
        </w:rPr>
        <w:tab/>
        <w:t>2.4. В статье 45 «Зона размещения объектов здравоохранения ОС-1», статье 46 «Зона учебно-образовательного назначения ОС-2» п.2 ч.3</w:t>
      </w:r>
      <w:r>
        <w:rPr>
          <w:b w:val="0"/>
          <w:color w:val="auto"/>
          <w:sz w:val="28"/>
          <w:szCs w:val="28"/>
        </w:rPr>
        <w:t xml:space="preserve"> предельных параметров</w:t>
      </w:r>
      <w:r w:rsidRPr="00BC688C">
        <w:rPr>
          <w:b w:val="0"/>
          <w:color w:val="auto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949"/>
        <w:gridCol w:w="1141"/>
        <w:gridCol w:w="4757"/>
      </w:tblGrid>
      <w:tr w:rsidR="002B0041" w:rsidRPr="00C457E2" w:rsidTr="00AE229E">
        <w:tc>
          <w:tcPr>
            <w:tcW w:w="1087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Минимальные отступы в целях определения мест допустимого размещения зданий, строений, сооружений: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73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2B0041" w:rsidRPr="00C457E2" w:rsidTr="00AE229E">
        <w:tc>
          <w:tcPr>
            <w:tcW w:w="1087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4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красной линии улицы, м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3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 xml:space="preserve">5,0 </w:t>
            </w:r>
          </w:p>
        </w:tc>
      </w:tr>
      <w:tr w:rsidR="002B0041" w:rsidRPr="00C457E2" w:rsidTr="00AE229E">
        <w:tc>
          <w:tcPr>
            <w:tcW w:w="1087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красной линии проезда, м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3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3,0</w:t>
            </w:r>
          </w:p>
        </w:tc>
      </w:tr>
      <w:tr w:rsidR="002B0041" w:rsidRPr="00C457E2" w:rsidTr="00AE229E">
        <w:tc>
          <w:tcPr>
            <w:tcW w:w="1087" w:type="dxa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4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границы соседнего земельного участка, м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3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 xml:space="preserve">3,0 </w:t>
            </w:r>
          </w:p>
        </w:tc>
      </w:tr>
    </w:tbl>
    <w:p w:rsidR="002B0041" w:rsidRPr="00BC688C" w:rsidRDefault="002B0041" w:rsidP="002B0041">
      <w:pPr>
        <w:pStyle w:val="2"/>
        <w:keepNext w:val="0"/>
        <w:keepLines/>
        <w:widowControl w:val="0"/>
        <w:ind w:firstLine="709"/>
        <w:jc w:val="both"/>
        <w:rPr>
          <w:b w:val="0"/>
          <w:color w:val="auto"/>
          <w:sz w:val="28"/>
          <w:szCs w:val="28"/>
        </w:rPr>
      </w:pPr>
      <w:r w:rsidRPr="00BC688C">
        <w:rPr>
          <w:b w:val="0"/>
          <w:color w:val="auto"/>
          <w:sz w:val="28"/>
          <w:szCs w:val="28"/>
        </w:rPr>
        <w:t xml:space="preserve">2.5. В статье 48 «Зона общественно-жилой застройки (ОЖ)» п.2.3 ч.3 </w:t>
      </w:r>
      <w:r>
        <w:rPr>
          <w:b w:val="0"/>
          <w:color w:val="auto"/>
          <w:sz w:val="28"/>
          <w:szCs w:val="28"/>
        </w:rPr>
        <w:t xml:space="preserve">предельных параметров </w:t>
      </w:r>
      <w:r w:rsidRPr="00BC688C">
        <w:rPr>
          <w:b w:val="0"/>
          <w:color w:val="auto"/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949"/>
        <w:gridCol w:w="1279"/>
        <w:gridCol w:w="4618"/>
      </w:tblGrid>
      <w:tr w:rsidR="002B0041" w:rsidRPr="00BC688C" w:rsidTr="00AE229E">
        <w:trPr>
          <w:trHeight w:val="291"/>
        </w:trPr>
        <w:tc>
          <w:tcPr>
            <w:tcW w:w="1088" w:type="dxa"/>
            <w:vMerge w:val="restart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4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границы соседнего земельного участка, м</w:t>
            </w:r>
          </w:p>
        </w:tc>
        <w:tc>
          <w:tcPr>
            <w:tcW w:w="19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7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домов не менее 3* м, от построек для содержания скота и птицы не менее 4 м, от других построек (бани, гаража и др.) не менее 1 м, от стволов высокорослых деревьев — 4 м, от стволов среднерослых деревьев — 2 м и от кустарников - не менее 1 м</w:t>
            </w:r>
          </w:p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* В условиях градостроительной реконструкции, а также при ширине земельного участка 12 м - не менее 1 м при условии соблюдения строительных, экологических, санитарно-гигиенических, противопожарных и иных норм правил.</w:t>
            </w:r>
          </w:p>
        </w:tc>
      </w:tr>
      <w:tr w:rsidR="002B0041" w:rsidRPr="00BC688C" w:rsidTr="00AE229E">
        <w:trPr>
          <w:trHeight w:val="291"/>
        </w:trPr>
        <w:tc>
          <w:tcPr>
            <w:tcW w:w="1088" w:type="dxa"/>
            <w:vMerge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  <w:r w:rsidRPr="0084563F">
              <w:rPr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3,0</w:t>
            </w:r>
          </w:p>
        </w:tc>
      </w:tr>
    </w:tbl>
    <w:p w:rsidR="002B0041" w:rsidRPr="00EA6ED7" w:rsidRDefault="002B0041" w:rsidP="002B0041">
      <w:pPr>
        <w:jc w:val="both"/>
        <w:rPr>
          <w:color w:val="auto"/>
          <w:sz w:val="28"/>
          <w:szCs w:val="28"/>
        </w:rPr>
      </w:pPr>
      <w:r w:rsidRPr="00BC688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2.6. </w:t>
      </w:r>
      <w:r w:rsidRPr="00EA6ED7">
        <w:rPr>
          <w:color w:val="auto"/>
          <w:sz w:val="28"/>
          <w:szCs w:val="28"/>
        </w:rPr>
        <w:t>В статье 56 «Зона парков, скверов, бульваров (Р-1)» п.2 ч.3 предельных параметров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949"/>
        <w:gridCol w:w="1141"/>
        <w:gridCol w:w="4757"/>
      </w:tblGrid>
      <w:tr w:rsidR="002B0041" w:rsidRPr="00EA6ED7" w:rsidTr="00AE229E">
        <w:tc>
          <w:tcPr>
            <w:tcW w:w="1087" w:type="dxa"/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Минимальные отступы в целях определения мест допустимого размещения зданий, строений, сооружений, м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3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1,0</w:t>
            </w:r>
          </w:p>
        </w:tc>
      </w:tr>
    </w:tbl>
    <w:p w:rsidR="002B0041" w:rsidRPr="00BC688C" w:rsidRDefault="002B0041" w:rsidP="002B0041">
      <w:pPr>
        <w:ind w:firstLine="709"/>
        <w:jc w:val="both"/>
        <w:rPr>
          <w:color w:val="auto"/>
          <w:sz w:val="28"/>
          <w:szCs w:val="28"/>
        </w:rPr>
      </w:pPr>
      <w:r w:rsidRPr="00BC688C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7</w:t>
      </w:r>
      <w:r w:rsidRPr="00BC688C">
        <w:rPr>
          <w:color w:val="auto"/>
          <w:sz w:val="28"/>
          <w:szCs w:val="28"/>
        </w:rPr>
        <w:t>. В статье 64 «Зона для ведения садоводства и огородничества (СХ-3)» п.2.3 ч.3 предельных параметров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949"/>
        <w:gridCol w:w="1279"/>
        <w:gridCol w:w="4617"/>
      </w:tblGrid>
      <w:tr w:rsidR="002B0041" w:rsidRPr="00BC688C" w:rsidTr="00AE229E">
        <w:trPr>
          <w:trHeight w:val="291"/>
        </w:trPr>
        <w:tc>
          <w:tcPr>
            <w:tcW w:w="1088" w:type="dxa"/>
            <w:vMerge w:val="restart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границы соседнего земельного участка, м</w:t>
            </w:r>
          </w:p>
        </w:tc>
        <w:tc>
          <w:tcPr>
            <w:tcW w:w="1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</w:t>
            </w:r>
          </w:p>
        </w:tc>
        <w:tc>
          <w:tcPr>
            <w:tcW w:w="71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от домов не менее 3* м, от построек для содержания скота и птицы не менее 4 м, от других построек (бани, гаража и др.) не менее 1 м, от стволов высокорослых деревьев — 4 м, от стволов среднерослых деревьев — 2 м и от кустарников - не менее 1 м</w:t>
            </w:r>
          </w:p>
          <w:p w:rsidR="002B0041" w:rsidRPr="0084563F" w:rsidRDefault="002B0041" w:rsidP="00AE229E">
            <w:pPr>
              <w:tabs>
                <w:tab w:val="left" w:pos="2160"/>
                <w:tab w:val="center" w:pos="2310"/>
              </w:tabs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* В условиях градостроительной реконструкции, а также при ширине земельного участка 12 м - не менее 1 м при условии соблюдения строительных, экологических, санитарно-гигиенических, противопожарных и иных норм правил.</w:t>
            </w:r>
          </w:p>
        </w:tc>
      </w:tr>
      <w:tr w:rsidR="002B0041" w:rsidRPr="00BC688C" w:rsidTr="00AE229E">
        <w:trPr>
          <w:trHeight w:val="291"/>
        </w:trPr>
        <w:tc>
          <w:tcPr>
            <w:tcW w:w="1088" w:type="dxa"/>
            <w:vMerge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ind w:firstLine="18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все при блокированной застройке</w:t>
            </w:r>
          </w:p>
        </w:tc>
        <w:tc>
          <w:tcPr>
            <w:tcW w:w="71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не устанавливается</w:t>
            </w:r>
          </w:p>
        </w:tc>
      </w:tr>
    </w:tbl>
    <w:p w:rsidR="002B0041" w:rsidRPr="00BC688C" w:rsidRDefault="002B0041" w:rsidP="002B0041">
      <w:pPr>
        <w:jc w:val="both"/>
        <w:rPr>
          <w:color w:val="auto"/>
          <w:sz w:val="28"/>
          <w:szCs w:val="28"/>
        </w:rPr>
      </w:pPr>
      <w:r w:rsidRPr="00BC688C">
        <w:rPr>
          <w:color w:val="auto"/>
          <w:sz w:val="28"/>
          <w:szCs w:val="28"/>
        </w:rPr>
        <w:lastRenderedPageBreak/>
        <w:tab/>
        <w:t>2.</w:t>
      </w:r>
      <w:r>
        <w:rPr>
          <w:color w:val="auto"/>
          <w:sz w:val="28"/>
          <w:szCs w:val="28"/>
        </w:rPr>
        <w:t>8</w:t>
      </w:r>
      <w:r w:rsidRPr="00BC688C">
        <w:rPr>
          <w:color w:val="auto"/>
          <w:sz w:val="28"/>
          <w:szCs w:val="28"/>
        </w:rPr>
        <w:t>. В статье 65 «Зона перспективного освоения (ПО) п</w:t>
      </w:r>
      <w:r>
        <w:rPr>
          <w:color w:val="auto"/>
          <w:sz w:val="28"/>
          <w:szCs w:val="28"/>
        </w:rPr>
        <w:t>п.</w:t>
      </w:r>
      <w:r w:rsidRPr="00BC688C">
        <w:rPr>
          <w:color w:val="auto"/>
          <w:sz w:val="28"/>
          <w:szCs w:val="28"/>
        </w:rPr>
        <w:t xml:space="preserve">1.2 ч. 3 </w:t>
      </w:r>
      <w:r>
        <w:rPr>
          <w:color w:val="auto"/>
          <w:sz w:val="28"/>
          <w:szCs w:val="28"/>
        </w:rPr>
        <w:t xml:space="preserve">предельных параметров </w:t>
      </w:r>
      <w:r w:rsidRPr="00BC688C">
        <w:rPr>
          <w:color w:val="auto"/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126"/>
        <w:gridCol w:w="1197"/>
        <w:gridCol w:w="5519"/>
      </w:tblGrid>
      <w:tr w:rsidR="002B0041" w:rsidRPr="00BC688C" w:rsidTr="00AE229E">
        <w:trPr>
          <w:trHeight w:val="32"/>
        </w:trPr>
        <w:tc>
          <w:tcPr>
            <w:tcW w:w="1095" w:type="dxa"/>
            <w:vMerge w:val="restart"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32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минимальная площадь земельного участка, кв.м.</w:t>
            </w:r>
          </w:p>
        </w:tc>
        <w:tc>
          <w:tcPr>
            <w:tcW w:w="1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85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  <w:lang w:val="en-US"/>
              </w:rPr>
              <w:t>400</w:t>
            </w:r>
          </w:p>
        </w:tc>
      </w:tr>
      <w:tr w:rsidR="002B0041" w:rsidRPr="00BC688C" w:rsidTr="00AE229E">
        <w:trPr>
          <w:trHeight w:val="32"/>
        </w:trPr>
        <w:tc>
          <w:tcPr>
            <w:tcW w:w="1095" w:type="dxa"/>
            <w:vMerge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2.7.1</w:t>
            </w:r>
          </w:p>
        </w:tc>
        <w:tc>
          <w:tcPr>
            <w:tcW w:w="85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18</w:t>
            </w:r>
          </w:p>
        </w:tc>
      </w:tr>
      <w:tr w:rsidR="002B0041" w:rsidRPr="00BC688C" w:rsidTr="00AE229E">
        <w:tc>
          <w:tcPr>
            <w:tcW w:w="1095" w:type="dxa"/>
            <w:vMerge/>
          </w:tcPr>
          <w:p w:rsidR="002B0041" w:rsidRPr="0084563F" w:rsidRDefault="002B0041" w:rsidP="00AE229E">
            <w:pPr>
              <w:autoSpaceDE w:val="0"/>
              <w:autoSpaceDN w:val="0"/>
              <w:ind w:firstLine="176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прочие</w:t>
            </w:r>
          </w:p>
        </w:tc>
        <w:tc>
          <w:tcPr>
            <w:tcW w:w="85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0041" w:rsidRPr="0084563F" w:rsidRDefault="002B0041" w:rsidP="00AE229E">
            <w:pPr>
              <w:autoSpaceDE w:val="0"/>
              <w:autoSpaceDN w:val="0"/>
              <w:contextualSpacing/>
              <w:rPr>
                <w:color w:val="auto"/>
                <w:sz w:val="22"/>
                <w:szCs w:val="22"/>
              </w:rPr>
            </w:pPr>
            <w:r w:rsidRPr="0084563F">
              <w:rPr>
                <w:color w:val="auto"/>
                <w:sz w:val="22"/>
                <w:szCs w:val="22"/>
              </w:rPr>
              <w:t>не устанавливается</w:t>
            </w:r>
          </w:p>
        </w:tc>
      </w:tr>
    </w:tbl>
    <w:p w:rsidR="003E5360" w:rsidRDefault="003E5360" w:rsidP="003E5360">
      <w:pPr>
        <w:rPr>
          <w:color w:val="FF0000"/>
        </w:rPr>
      </w:pPr>
    </w:p>
    <w:p w:rsidR="00B74088" w:rsidRDefault="00B74088" w:rsidP="003E5360">
      <w:pPr>
        <w:rPr>
          <w:color w:val="FF0000"/>
        </w:rPr>
      </w:pPr>
    </w:p>
    <w:p w:rsidR="00B74088" w:rsidRPr="003E5360" w:rsidRDefault="00B74088" w:rsidP="003E5360">
      <w:pPr>
        <w:rPr>
          <w:color w:val="FF0000"/>
        </w:rPr>
      </w:pPr>
    </w:p>
    <w:p w:rsidR="003E5360" w:rsidRDefault="003E5360" w:rsidP="003E5360">
      <w:pPr>
        <w:pStyle w:val="3"/>
        <w:tabs>
          <w:tab w:val="num" w:pos="0"/>
        </w:tabs>
        <w:jc w:val="both"/>
        <w:rPr>
          <w:b w:val="0"/>
          <w:bCs/>
          <w:szCs w:val="28"/>
        </w:rPr>
      </w:pPr>
      <w:r>
        <w:rPr>
          <w:b w:val="0"/>
          <w:color w:val="000000"/>
          <w:szCs w:val="28"/>
        </w:rPr>
        <w:t xml:space="preserve">Председатель Собрания депутатов - глава </w:t>
      </w:r>
    </w:p>
    <w:p w:rsidR="003E5360" w:rsidRDefault="003E5360" w:rsidP="003E5360">
      <w:pPr>
        <w:pStyle w:val="3"/>
        <w:tabs>
          <w:tab w:val="num" w:pos="0"/>
        </w:tabs>
        <w:jc w:val="both"/>
        <w:rPr>
          <w:b w:val="0"/>
          <w:color w:val="000000"/>
          <w:szCs w:val="28"/>
        </w:rPr>
      </w:pPr>
      <w:r>
        <w:rPr>
          <w:b w:val="0"/>
          <w:bCs/>
          <w:szCs w:val="28"/>
        </w:rPr>
        <w:t>Белокалитвинского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</w:rPr>
        <w:t>городского поселения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</w:t>
      </w:r>
      <w:r>
        <w:rPr>
          <w:b w:val="0"/>
          <w:color w:val="000000"/>
          <w:szCs w:val="28"/>
        </w:rPr>
        <w:t>В.А. Рыжкин</w:t>
      </w:r>
    </w:p>
    <w:p w:rsidR="003E5360" w:rsidRDefault="003E5360" w:rsidP="003E5360">
      <w:pPr>
        <w:rPr>
          <w:sz w:val="28"/>
          <w:szCs w:val="28"/>
        </w:rPr>
      </w:pPr>
    </w:p>
    <w:p w:rsidR="00B74088" w:rsidRDefault="00B74088" w:rsidP="003E5360">
      <w:pPr>
        <w:rPr>
          <w:sz w:val="28"/>
          <w:szCs w:val="28"/>
        </w:rPr>
      </w:pPr>
    </w:p>
    <w:p w:rsidR="003E5360" w:rsidRDefault="003E5360" w:rsidP="00646326">
      <w:pPr>
        <w:jc w:val="both"/>
        <w:rPr>
          <w:sz w:val="28"/>
          <w:szCs w:val="28"/>
        </w:rPr>
      </w:pPr>
      <w:bookmarkStart w:id="0" w:name="_GoBack"/>
      <w:bookmarkEnd w:id="0"/>
    </w:p>
    <w:sectPr w:rsidR="003E5360" w:rsidSect="00B74088">
      <w:pgSz w:w="11906" w:h="16838"/>
      <w:pgMar w:top="1134" w:right="851" w:bottom="1134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DB" w:rsidRDefault="00781FDB" w:rsidP="008F0288">
      <w:r>
        <w:separator/>
      </w:r>
    </w:p>
  </w:endnote>
  <w:endnote w:type="continuationSeparator" w:id="0">
    <w:p w:rsidR="00781FDB" w:rsidRDefault="00781FDB" w:rsidP="008F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DB" w:rsidRDefault="00781FDB" w:rsidP="008F0288">
      <w:r>
        <w:separator/>
      </w:r>
    </w:p>
  </w:footnote>
  <w:footnote w:type="continuationSeparator" w:id="0">
    <w:p w:rsidR="00781FDB" w:rsidRDefault="00781FDB" w:rsidP="008F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A7A11"/>
    <w:multiLevelType w:val="multilevel"/>
    <w:tmpl w:val="712AE9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7E"/>
    <w:rsid w:val="000456E4"/>
    <w:rsid w:val="000974DC"/>
    <w:rsid w:val="000B13B3"/>
    <w:rsid w:val="00110634"/>
    <w:rsid w:val="001260C4"/>
    <w:rsid w:val="00127082"/>
    <w:rsid w:val="00194DAE"/>
    <w:rsid w:val="001B5ECF"/>
    <w:rsid w:val="001E2B8A"/>
    <w:rsid w:val="00210117"/>
    <w:rsid w:val="002115B5"/>
    <w:rsid w:val="00221C76"/>
    <w:rsid w:val="002263CB"/>
    <w:rsid w:val="0024724A"/>
    <w:rsid w:val="00255710"/>
    <w:rsid w:val="00257094"/>
    <w:rsid w:val="002676BF"/>
    <w:rsid w:val="002B0041"/>
    <w:rsid w:val="003029BD"/>
    <w:rsid w:val="0033187B"/>
    <w:rsid w:val="00364B17"/>
    <w:rsid w:val="003D07E9"/>
    <w:rsid w:val="003E5360"/>
    <w:rsid w:val="00404A78"/>
    <w:rsid w:val="004458B7"/>
    <w:rsid w:val="0045544A"/>
    <w:rsid w:val="00487D1D"/>
    <w:rsid w:val="004B371D"/>
    <w:rsid w:val="004D663A"/>
    <w:rsid w:val="005368BA"/>
    <w:rsid w:val="00575A28"/>
    <w:rsid w:val="00584611"/>
    <w:rsid w:val="00594B60"/>
    <w:rsid w:val="005E1EC0"/>
    <w:rsid w:val="0061151C"/>
    <w:rsid w:val="00646326"/>
    <w:rsid w:val="00660186"/>
    <w:rsid w:val="00671E5A"/>
    <w:rsid w:val="0069634E"/>
    <w:rsid w:val="00697D93"/>
    <w:rsid w:val="006E5305"/>
    <w:rsid w:val="006F357D"/>
    <w:rsid w:val="006F5FE5"/>
    <w:rsid w:val="0071657E"/>
    <w:rsid w:val="007169A8"/>
    <w:rsid w:val="00755233"/>
    <w:rsid w:val="00762F35"/>
    <w:rsid w:val="0077740F"/>
    <w:rsid w:val="00781FDB"/>
    <w:rsid w:val="007B553D"/>
    <w:rsid w:val="007C523D"/>
    <w:rsid w:val="007E4121"/>
    <w:rsid w:val="007F2715"/>
    <w:rsid w:val="0080607C"/>
    <w:rsid w:val="00817AF7"/>
    <w:rsid w:val="008516B9"/>
    <w:rsid w:val="00865E52"/>
    <w:rsid w:val="00877EC7"/>
    <w:rsid w:val="008942C2"/>
    <w:rsid w:val="008A54DC"/>
    <w:rsid w:val="008C4F01"/>
    <w:rsid w:val="008D0C4B"/>
    <w:rsid w:val="008E3454"/>
    <w:rsid w:val="008F0288"/>
    <w:rsid w:val="00920308"/>
    <w:rsid w:val="00925538"/>
    <w:rsid w:val="00937D0E"/>
    <w:rsid w:val="009722A3"/>
    <w:rsid w:val="009857F0"/>
    <w:rsid w:val="009963D0"/>
    <w:rsid w:val="009A751A"/>
    <w:rsid w:val="009E21BA"/>
    <w:rsid w:val="009F2C8A"/>
    <w:rsid w:val="009F5F7C"/>
    <w:rsid w:val="00A03153"/>
    <w:rsid w:val="00A3229E"/>
    <w:rsid w:val="00A5149F"/>
    <w:rsid w:val="00A62A99"/>
    <w:rsid w:val="00A94D79"/>
    <w:rsid w:val="00AA06AC"/>
    <w:rsid w:val="00AA3405"/>
    <w:rsid w:val="00AB0422"/>
    <w:rsid w:val="00AB3F52"/>
    <w:rsid w:val="00AC421D"/>
    <w:rsid w:val="00AD5C33"/>
    <w:rsid w:val="00AF1249"/>
    <w:rsid w:val="00B5092C"/>
    <w:rsid w:val="00B66124"/>
    <w:rsid w:val="00B74088"/>
    <w:rsid w:val="00B743C4"/>
    <w:rsid w:val="00B90E34"/>
    <w:rsid w:val="00B96A03"/>
    <w:rsid w:val="00BA38F6"/>
    <w:rsid w:val="00BB1570"/>
    <w:rsid w:val="00BC4759"/>
    <w:rsid w:val="00BD7CC8"/>
    <w:rsid w:val="00BF0030"/>
    <w:rsid w:val="00C71E50"/>
    <w:rsid w:val="00C958EC"/>
    <w:rsid w:val="00CD653E"/>
    <w:rsid w:val="00D04256"/>
    <w:rsid w:val="00D1057A"/>
    <w:rsid w:val="00D4046E"/>
    <w:rsid w:val="00D41DF5"/>
    <w:rsid w:val="00D71F3A"/>
    <w:rsid w:val="00DA02E2"/>
    <w:rsid w:val="00E54804"/>
    <w:rsid w:val="00E74868"/>
    <w:rsid w:val="00E86E51"/>
    <w:rsid w:val="00EA4437"/>
    <w:rsid w:val="00EC019E"/>
    <w:rsid w:val="00ED7D65"/>
    <w:rsid w:val="00EF5F91"/>
    <w:rsid w:val="00F73B9D"/>
    <w:rsid w:val="00F9743C"/>
    <w:rsid w:val="00FB5154"/>
    <w:rsid w:val="00FC0B76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61EA"/>
  <w15:docId w15:val="{04FCA192-653A-4D1A-9DA9-ED594D9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7E"/>
    <w:pPr>
      <w:suppressAutoHyphens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rsid w:val="0071657E"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rsid w:val="0071657E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rsid w:val="0071657E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1657E"/>
  </w:style>
  <w:style w:type="character" w:customStyle="1" w:styleId="WW8Num1z1">
    <w:name w:val="WW8Num1z1"/>
    <w:qFormat/>
    <w:rsid w:val="0071657E"/>
  </w:style>
  <w:style w:type="character" w:customStyle="1" w:styleId="WW8Num1z2">
    <w:name w:val="WW8Num1z2"/>
    <w:qFormat/>
    <w:rsid w:val="0071657E"/>
  </w:style>
  <w:style w:type="character" w:customStyle="1" w:styleId="WW8Num1z3">
    <w:name w:val="WW8Num1z3"/>
    <w:qFormat/>
    <w:rsid w:val="0071657E"/>
  </w:style>
  <w:style w:type="character" w:customStyle="1" w:styleId="WW8Num1z4">
    <w:name w:val="WW8Num1z4"/>
    <w:qFormat/>
    <w:rsid w:val="0071657E"/>
  </w:style>
  <w:style w:type="character" w:customStyle="1" w:styleId="WW8Num1z5">
    <w:name w:val="WW8Num1z5"/>
    <w:qFormat/>
    <w:rsid w:val="0071657E"/>
  </w:style>
  <w:style w:type="character" w:customStyle="1" w:styleId="WW8Num1z6">
    <w:name w:val="WW8Num1z6"/>
    <w:qFormat/>
    <w:rsid w:val="0071657E"/>
  </w:style>
  <w:style w:type="character" w:customStyle="1" w:styleId="WW8Num1z7">
    <w:name w:val="WW8Num1z7"/>
    <w:qFormat/>
    <w:rsid w:val="0071657E"/>
  </w:style>
  <w:style w:type="character" w:customStyle="1" w:styleId="WW8Num1z8">
    <w:name w:val="WW8Num1z8"/>
    <w:qFormat/>
    <w:rsid w:val="0071657E"/>
  </w:style>
  <w:style w:type="character" w:customStyle="1" w:styleId="Absatz-Standardschriftart">
    <w:name w:val="Absatz-Standardschriftart"/>
    <w:qFormat/>
    <w:rsid w:val="0071657E"/>
  </w:style>
  <w:style w:type="character" w:customStyle="1" w:styleId="WW-Absatz-Standardschriftart">
    <w:name w:val="WW-Absatz-Standardschriftart"/>
    <w:qFormat/>
    <w:rsid w:val="0071657E"/>
  </w:style>
  <w:style w:type="character" w:customStyle="1" w:styleId="WW-Absatz-Standardschriftart1">
    <w:name w:val="WW-Absatz-Standardschriftart1"/>
    <w:qFormat/>
    <w:rsid w:val="0071657E"/>
  </w:style>
  <w:style w:type="character" w:customStyle="1" w:styleId="WW-Absatz-Standardschriftart11">
    <w:name w:val="WW-Absatz-Standardschriftart11"/>
    <w:qFormat/>
    <w:rsid w:val="0071657E"/>
  </w:style>
  <w:style w:type="character" w:customStyle="1" w:styleId="WW-Absatz-Standardschriftart111">
    <w:name w:val="WW-Absatz-Standardschriftart111"/>
    <w:qFormat/>
    <w:rsid w:val="0071657E"/>
  </w:style>
  <w:style w:type="character" w:customStyle="1" w:styleId="WW-Absatz-Standardschriftart1111">
    <w:name w:val="WW-Absatz-Standardschriftart1111"/>
    <w:qFormat/>
    <w:rsid w:val="0071657E"/>
  </w:style>
  <w:style w:type="character" w:customStyle="1" w:styleId="10">
    <w:name w:val="Основной шрифт абзаца1"/>
    <w:qFormat/>
    <w:rsid w:val="0071657E"/>
  </w:style>
  <w:style w:type="character" w:customStyle="1" w:styleId="a3">
    <w:name w:val="Цветовое выделение"/>
    <w:qFormat/>
    <w:rsid w:val="0071657E"/>
    <w:rPr>
      <w:b/>
      <w:bCs/>
      <w:color w:val="000080"/>
      <w:sz w:val="20"/>
      <w:szCs w:val="20"/>
    </w:rPr>
  </w:style>
  <w:style w:type="character" w:customStyle="1" w:styleId="-">
    <w:name w:val="Интернет-ссылка"/>
    <w:rsid w:val="0071657E"/>
    <w:rPr>
      <w:color w:val="000080"/>
      <w:u w:val="single"/>
    </w:rPr>
  </w:style>
  <w:style w:type="character" w:customStyle="1" w:styleId="11">
    <w:name w:val="Знак Знак1"/>
    <w:basedOn w:val="a0"/>
    <w:qFormat/>
    <w:rsid w:val="0071657E"/>
    <w:rPr>
      <w:b/>
      <w:sz w:val="28"/>
      <w:lang w:val="ru-RU" w:bidi="ar-SA"/>
    </w:rPr>
  </w:style>
  <w:style w:type="character" w:styleId="a4">
    <w:name w:val="Emphasis"/>
    <w:basedOn w:val="a0"/>
    <w:rsid w:val="0071657E"/>
    <w:rPr>
      <w:i/>
      <w:iCs/>
    </w:rPr>
  </w:style>
  <w:style w:type="character" w:customStyle="1" w:styleId="12">
    <w:name w:val="Знак Знак1"/>
    <w:basedOn w:val="a0"/>
    <w:qFormat/>
    <w:rsid w:val="0071657E"/>
    <w:rPr>
      <w:b/>
      <w:sz w:val="28"/>
      <w:lang w:val="ru-RU" w:bidi="ar-SA"/>
    </w:rPr>
  </w:style>
  <w:style w:type="paragraph" w:customStyle="1" w:styleId="13">
    <w:name w:val="Заголовок1"/>
    <w:basedOn w:val="a"/>
    <w:next w:val="a5"/>
    <w:qFormat/>
    <w:rsid w:val="007165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71657E"/>
    <w:pPr>
      <w:spacing w:after="120"/>
    </w:pPr>
  </w:style>
  <w:style w:type="paragraph" w:styleId="a6">
    <w:name w:val="List"/>
    <w:basedOn w:val="a5"/>
    <w:rsid w:val="0071657E"/>
    <w:rPr>
      <w:rFonts w:ascii="Arial" w:hAnsi="Arial" w:cs="Tahoma"/>
    </w:rPr>
  </w:style>
  <w:style w:type="paragraph" w:styleId="a7">
    <w:name w:val="Title"/>
    <w:basedOn w:val="a"/>
    <w:rsid w:val="0071657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71657E"/>
    <w:pPr>
      <w:suppressLineNumbers/>
    </w:pPr>
    <w:rPr>
      <w:rFonts w:cs="FreeSans"/>
    </w:rPr>
  </w:style>
  <w:style w:type="paragraph" w:customStyle="1" w:styleId="14">
    <w:name w:val="Название1"/>
    <w:basedOn w:val="a"/>
    <w:qFormat/>
    <w:rsid w:val="0071657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71657E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71657E"/>
    <w:pPr>
      <w:ind w:firstLine="720"/>
      <w:jc w:val="both"/>
    </w:pPr>
  </w:style>
  <w:style w:type="paragraph" w:customStyle="1" w:styleId="21">
    <w:name w:val="Основной текст с отступом 21"/>
    <w:basedOn w:val="a"/>
    <w:qFormat/>
    <w:rsid w:val="0071657E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qFormat/>
    <w:rsid w:val="0071657E"/>
    <w:pPr>
      <w:widowControl w:val="0"/>
      <w:suppressAutoHyphens/>
      <w:ind w:left="80"/>
      <w:jc w:val="center"/>
    </w:pPr>
    <w:rPr>
      <w:rFonts w:ascii="Arial" w:eastAsia="Arial" w:hAnsi="Arial" w:cs="Arial"/>
      <w:b/>
      <w:color w:val="00000A"/>
      <w:sz w:val="16"/>
      <w:szCs w:val="20"/>
      <w:lang w:bidi="ar-SA"/>
    </w:rPr>
  </w:style>
  <w:style w:type="paragraph" w:customStyle="1" w:styleId="FR3">
    <w:name w:val="FR3"/>
    <w:qFormat/>
    <w:rsid w:val="0071657E"/>
    <w:pPr>
      <w:widowControl w:val="0"/>
      <w:suppressAutoHyphens/>
      <w:spacing w:before="40"/>
      <w:ind w:left="800"/>
    </w:pPr>
    <w:rPr>
      <w:rFonts w:ascii="Arial" w:eastAsia="Arial" w:hAnsi="Arial" w:cs="Arial"/>
      <w:b/>
      <w:color w:val="00000A"/>
      <w:sz w:val="12"/>
      <w:szCs w:val="20"/>
      <w:lang w:bidi="ar-SA"/>
    </w:rPr>
  </w:style>
  <w:style w:type="paragraph" w:customStyle="1" w:styleId="aa">
    <w:name w:val="Текст (лев. подпись)"/>
    <w:basedOn w:val="a"/>
    <w:next w:val="a"/>
    <w:qFormat/>
    <w:rsid w:val="0071657E"/>
    <w:pPr>
      <w:widowControl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qFormat/>
    <w:rsid w:val="0071657E"/>
    <w:pPr>
      <w:widowControl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qFormat/>
    <w:rsid w:val="0071657E"/>
    <w:pPr>
      <w:suppressLineNumbers/>
    </w:pPr>
  </w:style>
  <w:style w:type="paragraph" w:customStyle="1" w:styleId="ad">
    <w:name w:val="Заголовок таблицы"/>
    <w:basedOn w:val="ac"/>
    <w:qFormat/>
    <w:rsid w:val="0071657E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qFormat/>
    <w:rsid w:val="0071657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qFormat/>
    <w:rsid w:val="0071657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rsid w:val="0071657E"/>
    <w:pPr>
      <w:suppressAutoHyphens w:val="0"/>
      <w:ind w:firstLine="720"/>
      <w:jc w:val="both"/>
    </w:pPr>
    <w:rPr>
      <w:color w:val="000000"/>
      <w:sz w:val="24"/>
    </w:rPr>
  </w:style>
  <w:style w:type="paragraph" w:customStyle="1" w:styleId="ConsNormal">
    <w:name w:val="ConsNormal"/>
    <w:qFormat/>
    <w:rsid w:val="0071657E"/>
    <w:pPr>
      <w:widowControl w:val="0"/>
      <w:suppressAutoHyphens/>
      <w:ind w:firstLine="720"/>
    </w:pPr>
    <w:rPr>
      <w:rFonts w:ascii="Arial" w:eastAsia="Arial" w:hAnsi="Arial" w:cs="Arial"/>
      <w:color w:val="00000A"/>
      <w:sz w:val="20"/>
      <w:szCs w:val="20"/>
      <w:lang w:bidi="ar-SA"/>
    </w:rPr>
  </w:style>
  <w:style w:type="paragraph" w:customStyle="1" w:styleId="af0">
    <w:name w:val="Блочная цитата"/>
    <w:basedOn w:val="a"/>
    <w:qFormat/>
    <w:rsid w:val="0071657E"/>
  </w:style>
  <w:style w:type="paragraph" w:customStyle="1" w:styleId="af1">
    <w:name w:val="Заглавие"/>
    <w:basedOn w:val="13"/>
    <w:rsid w:val="0071657E"/>
  </w:style>
  <w:style w:type="paragraph" w:styleId="af2">
    <w:name w:val="Subtitle"/>
    <w:basedOn w:val="13"/>
    <w:rsid w:val="0071657E"/>
  </w:style>
  <w:style w:type="numbering" w:customStyle="1" w:styleId="WW8Num1">
    <w:name w:val="WW8Num1"/>
    <w:rsid w:val="0071657E"/>
  </w:style>
  <w:style w:type="paragraph" w:styleId="af3">
    <w:name w:val="Balloon Text"/>
    <w:basedOn w:val="a"/>
    <w:link w:val="af4"/>
    <w:uiPriority w:val="99"/>
    <w:semiHidden/>
    <w:unhideWhenUsed/>
    <w:rsid w:val="00F73B9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3B9D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f5">
    <w:name w:val="header"/>
    <w:basedOn w:val="a"/>
    <w:link w:val="af6"/>
    <w:uiPriority w:val="99"/>
    <w:unhideWhenUsed/>
    <w:rsid w:val="008F028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F0288"/>
    <w:rPr>
      <w:rFonts w:eastAsia="Times New Roman" w:cs="Times New Roman"/>
      <w:color w:val="00000A"/>
      <w:sz w:val="20"/>
      <w:szCs w:val="20"/>
      <w:lang w:bidi="ar-SA"/>
    </w:rPr>
  </w:style>
  <w:style w:type="paragraph" w:styleId="af7">
    <w:name w:val="footer"/>
    <w:basedOn w:val="a"/>
    <w:link w:val="af8"/>
    <w:uiPriority w:val="99"/>
    <w:unhideWhenUsed/>
    <w:rsid w:val="008F028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F0288"/>
    <w:rPr>
      <w:rFonts w:eastAsia="Times New Roman" w:cs="Times New Roman"/>
      <w:color w:val="00000A"/>
      <w:sz w:val="20"/>
      <w:szCs w:val="20"/>
      <w:lang w:bidi="ar-SA"/>
    </w:rPr>
  </w:style>
  <w:style w:type="paragraph" w:customStyle="1" w:styleId="ConsPlusTitle">
    <w:name w:val="ConsPlusTitle"/>
    <w:rsid w:val="001E2B8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9">
    <w:name w:val="Normal (Web)"/>
    <w:basedOn w:val="a"/>
    <w:qFormat/>
    <w:rsid w:val="002B0041"/>
    <w:pPr>
      <w:spacing w:before="280" w:after="119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2B00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vga</dc:creator>
  <cp:lastModifiedBy>Наталья Бойко</cp:lastModifiedBy>
  <cp:revision>27</cp:revision>
  <cp:lastPrinted>2021-02-12T12:48:00Z</cp:lastPrinted>
  <dcterms:created xsi:type="dcterms:W3CDTF">2020-06-30T09:10:00Z</dcterms:created>
  <dcterms:modified xsi:type="dcterms:W3CDTF">2022-03-17T08:15:00Z</dcterms:modified>
  <dc:language>ru-RU</dc:language>
</cp:coreProperties>
</file>